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276" w:lineRule="auto"/>
        <w:jc w:val="center"/>
        <w:rPr>
          <w:rFonts w:ascii="黑体" w:hAnsi="黑体" w:eastAsia="黑体"/>
          <w:b/>
          <w:sz w:val="28"/>
        </w:rPr>
      </w:pPr>
    </w:p>
    <w:p>
      <w:pPr>
        <w:spacing w:before="156" w:beforeLines="50" w:line="276" w:lineRule="auto"/>
        <w:jc w:val="center"/>
        <w:rPr>
          <w:rFonts w:ascii="黑体" w:hAnsi="黑体" w:eastAsia="黑体"/>
          <w:b/>
          <w:sz w:val="28"/>
        </w:rPr>
      </w:pPr>
    </w:p>
    <w:p>
      <w:pPr>
        <w:spacing w:before="156" w:beforeLines="50" w:line="360" w:lineRule="auto"/>
        <w:jc w:val="center"/>
        <w:rPr>
          <w:rFonts w:hint="eastAsia" w:ascii="黑体" w:hAnsi="黑体" w:eastAsia="黑体"/>
          <w:b/>
          <w:sz w:val="28"/>
        </w:rPr>
      </w:pPr>
      <w:r>
        <w:rPr>
          <w:rFonts w:ascii="黑体" w:hAnsi="黑体" w:eastAsia="黑体"/>
          <w:b/>
          <w:sz w:val="28"/>
        </w:rPr>
        <w:drawing>
          <wp:inline distT="0" distB="0" distL="0" distR="0">
            <wp:extent cx="3183890" cy="1591945"/>
            <wp:effectExtent l="0" t="0" r="0" b="0"/>
            <wp:docPr id="4" name="图片 4" descr="C:\Users\YD-LH\源文件\Desktop\盈德气体集团新logo定-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D-LH\源文件\Desktop\盈德气体集团新logo定-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83890" cy="1591945"/>
                    </a:xfrm>
                    <a:prstGeom prst="rect">
                      <a:avLst/>
                    </a:prstGeom>
                    <a:noFill/>
                    <a:ln>
                      <a:noFill/>
                    </a:ln>
                  </pic:spPr>
                </pic:pic>
              </a:graphicData>
            </a:graphic>
          </wp:inline>
        </w:drawing>
      </w:r>
    </w:p>
    <w:p>
      <w:pPr>
        <w:spacing w:before="156" w:beforeLines="50" w:line="360" w:lineRule="auto"/>
        <w:jc w:val="center"/>
        <w:rPr>
          <w:rFonts w:hint="eastAsia" w:ascii="黑体" w:hAnsi="黑体" w:eastAsia="黑体"/>
          <w:b/>
          <w:sz w:val="32"/>
          <w:lang w:val="en-US" w:eastAsia="zh-CN"/>
        </w:rPr>
      </w:pPr>
      <w:r>
        <w:rPr>
          <w:rFonts w:hint="eastAsia" w:ascii="黑体" w:hAnsi="黑体" w:eastAsia="黑体"/>
          <w:b/>
          <w:sz w:val="32"/>
        </w:rPr>
        <w:t>安阳盈德气体有限公司</w:t>
      </w:r>
      <w:r>
        <w:rPr>
          <w:rFonts w:hint="eastAsia" w:ascii="黑体" w:hAnsi="黑体" w:eastAsia="黑体"/>
          <w:b/>
          <w:sz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黑体" w:hAnsi="黑体" w:eastAsia="黑体" w:cs="Times New Roman"/>
          <w:b/>
          <w:sz w:val="44"/>
          <w:szCs w:val="44"/>
          <w:lang w:val="en-US" w:eastAsia="zh-CN"/>
        </w:rPr>
      </w:pPr>
      <w:r>
        <w:rPr>
          <w:rFonts w:hint="eastAsia" w:ascii="黑体" w:hAnsi="黑体" w:eastAsia="黑体" w:cs="Times New Roman"/>
          <w:b/>
          <w:sz w:val="44"/>
          <w:szCs w:val="44"/>
          <w:lang w:val="en-US" w:eastAsia="zh-CN"/>
        </w:rPr>
        <w:t>2020年第一季度环保排放情况信息公开</w:t>
      </w:r>
    </w:p>
    <w:p>
      <w:pPr>
        <w:spacing w:before="156" w:beforeLines="50" w:line="360" w:lineRule="auto"/>
        <w:jc w:val="center"/>
        <w:rPr>
          <w:rFonts w:hint="default" w:ascii="黑体" w:hAnsi="黑体" w:eastAsia="黑体"/>
          <w:b/>
          <w:sz w:val="52"/>
          <w:lang w:val="en-US" w:eastAsia="zh-CN"/>
        </w:rPr>
      </w:pPr>
    </w:p>
    <w:p>
      <w:pPr>
        <w:snapToGrid w:val="0"/>
        <w:spacing w:line="360" w:lineRule="auto"/>
        <w:jc w:val="center"/>
        <w:rPr>
          <w:rFonts w:ascii="黑体" w:hAnsi="黑体" w:eastAsia="黑体"/>
          <w:b/>
          <w:sz w:val="52"/>
        </w:rPr>
      </w:pPr>
    </w:p>
    <w:p>
      <w:pPr>
        <w:spacing w:before="156" w:beforeLines="50" w:line="276" w:lineRule="auto"/>
        <w:rPr>
          <w:rFonts w:hint="eastAsia" w:ascii="黑体" w:hAnsi="黑体" w:eastAsia="黑体"/>
          <w:b/>
          <w:sz w:val="28"/>
          <w:lang w:eastAsia="zh-CN"/>
        </w:rPr>
      </w:pPr>
      <w:r>
        <w:rPr>
          <w:rFonts w:hint="eastAsia" w:ascii="黑体" w:hAnsi="黑体" w:eastAsia="黑体"/>
          <w:b/>
          <w:sz w:val="52"/>
          <w:lang w:val="en-US" w:eastAsia="zh-CN"/>
        </w:rPr>
        <w:t xml:space="preserve"> </w:t>
      </w:r>
    </w:p>
    <w:p>
      <w:pPr>
        <w:spacing w:before="156" w:beforeLines="50" w:line="276" w:lineRule="auto"/>
        <w:jc w:val="both"/>
        <w:rPr>
          <w:rFonts w:hint="eastAsia" w:ascii="黑体" w:hAnsi="黑体" w:eastAsia="黑体"/>
          <w:b/>
          <w:sz w:val="32"/>
          <w:szCs w:val="32"/>
        </w:rPr>
      </w:pPr>
    </w:p>
    <w:p>
      <w:pPr>
        <w:spacing w:line="360" w:lineRule="auto"/>
        <w:jc w:val="center"/>
        <w:rPr>
          <w:rFonts w:hint="eastAsia" w:ascii="黑体" w:hAnsi="黑体" w:eastAsia="黑体"/>
          <w:b/>
          <w:bCs/>
          <w:sz w:val="32"/>
          <w:szCs w:val="32"/>
          <w:lang w:val="en-US" w:eastAsia="zh-CN"/>
        </w:rPr>
      </w:pPr>
      <w:r>
        <w:rPr>
          <w:rFonts w:hint="eastAsia" w:ascii="黑体" w:hAnsi="黑体" w:eastAsia="黑体"/>
          <w:b/>
          <w:bCs/>
          <w:sz w:val="32"/>
          <w:szCs w:val="32"/>
          <w:lang w:val="en-US" w:eastAsia="zh-CN"/>
        </w:rPr>
        <w:t>编制</w:t>
      </w:r>
      <w:r>
        <w:rPr>
          <w:rFonts w:hint="eastAsia" w:ascii="黑体" w:hAnsi="黑体" w:eastAsia="黑体"/>
          <w:b/>
          <w:bCs/>
          <w:sz w:val="32"/>
          <w:szCs w:val="32"/>
        </w:rPr>
        <w:t>：</w:t>
      </w:r>
      <w:r>
        <w:rPr>
          <w:rFonts w:hint="eastAsia" w:ascii="黑体" w:hAnsi="黑体" w:eastAsia="黑体"/>
          <w:b/>
          <w:bCs/>
          <w:sz w:val="32"/>
          <w:szCs w:val="32"/>
          <w:lang w:val="en-US" w:eastAsia="zh-CN"/>
        </w:rPr>
        <w:t xml:space="preserve"> </w:t>
      </w:r>
    </w:p>
    <w:p>
      <w:pPr>
        <w:spacing w:line="360" w:lineRule="auto"/>
        <w:jc w:val="center"/>
        <w:rPr>
          <w:rFonts w:hint="eastAsia" w:ascii="黑体" w:hAnsi="黑体" w:eastAsia="黑体"/>
          <w:b/>
          <w:bCs/>
          <w:sz w:val="32"/>
          <w:szCs w:val="32"/>
          <w:lang w:val="en-US" w:eastAsia="zh-CN"/>
        </w:rPr>
      </w:pPr>
    </w:p>
    <w:p>
      <w:pPr>
        <w:spacing w:line="360" w:lineRule="auto"/>
        <w:jc w:val="center"/>
        <w:rPr>
          <w:rFonts w:hint="eastAsia" w:ascii="黑体" w:hAnsi="黑体" w:eastAsia="黑体" w:cs="Times New Roman"/>
          <w:b/>
          <w:bCs/>
          <w:kern w:val="2"/>
          <w:sz w:val="32"/>
          <w:szCs w:val="32"/>
          <w:lang w:val="zh-CN" w:eastAsia="zh-CN" w:bidi="ar-SA"/>
        </w:rPr>
      </w:pPr>
      <w:r>
        <w:rPr>
          <w:rFonts w:hint="eastAsia" w:ascii="黑体" w:hAnsi="黑体" w:eastAsia="黑体"/>
          <w:b/>
          <w:bCs/>
          <w:sz w:val="32"/>
          <w:szCs w:val="32"/>
          <w:lang w:val="en-US" w:eastAsia="zh-CN"/>
        </w:rPr>
        <w:t>审核：</w:t>
      </w:r>
      <w:r>
        <w:rPr>
          <w:rFonts w:hint="eastAsia" w:ascii="黑体" w:hAnsi="黑体" w:eastAsia="黑体"/>
          <w:b/>
          <w:bCs/>
          <w:sz w:val="32"/>
          <w:szCs w:val="32"/>
          <w:u w:val="single"/>
          <w:lang w:val="en-US" w:eastAsia="zh-CN"/>
        </w:rPr>
        <w:t xml:space="preserve"> </w:t>
      </w:r>
    </w:p>
    <w:p>
      <w:pPr>
        <w:pStyle w:val="9"/>
        <w:jc w:val="both"/>
        <w:rPr>
          <w:rFonts w:hint="eastAsia" w:ascii="黑体" w:hAnsi="黑体" w:eastAsia="黑体" w:cs="Times New Roman"/>
          <w:b/>
          <w:bCs/>
          <w:kern w:val="2"/>
          <w:sz w:val="32"/>
          <w:szCs w:val="32"/>
          <w:lang w:val="zh-CN" w:eastAsia="zh-CN" w:bidi="ar-SA"/>
        </w:rPr>
      </w:pPr>
    </w:p>
    <w:p>
      <w:pPr>
        <w:pStyle w:val="9"/>
        <w:jc w:val="center"/>
        <w:rPr>
          <w:rFonts w:hint="eastAsia" w:ascii="黑体" w:hAnsi="黑体" w:eastAsia="黑体" w:cs="Times New Roman"/>
          <w:b/>
          <w:bCs/>
          <w:kern w:val="2"/>
          <w:sz w:val="32"/>
          <w:szCs w:val="32"/>
          <w:lang w:val="zh-CN" w:eastAsia="zh-CN" w:bidi="ar-SA"/>
        </w:rPr>
      </w:pPr>
      <w:r>
        <w:rPr>
          <w:rFonts w:hint="eastAsia" w:ascii="黑体" w:hAnsi="黑体" w:eastAsia="黑体" w:cs="Times New Roman"/>
          <w:b/>
          <w:bCs/>
          <w:kern w:val="2"/>
          <w:sz w:val="32"/>
          <w:szCs w:val="32"/>
          <w:lang w:val="zh-CN" w:eastAsia="zh-CN" w:bidi="ar-SA"/>
        </w:rPr>
        <w:t>二零二零年</w:t>
      </w:r>
      <w:r>
        <w:rPr>
          <w:rFonts w:hint="eastAsia" w:ascii="黑体" w:hAnsi="黑体" w:eastAsia="黑体" w:cs="Times New Roman"/>
          <w:b/>
          <w:bCs/>
          <w:kern w:val="2"/>
          <w:sz w:val="32"/>
          <w:szCs w:val="32"/>
          <w:lang w:val="en-US" w:eastAsia="zh-CN" w:bidi="ar-SA"/>
        </w:rPr>
        <w:t>四</w:t>
      </w:r>
      <w:r>
        <w:rPr>
          <w:rFonts w:hint="eastAsia" w:ascii="黑体" w:hAnsi="黑体" w:eastAsia="黑体" w:cs="Times New Roman"/>
          <w:b/>
          <w:bCs/>
          <w:kern w:val="2"/>
          <w:sz w:val="32"/>
          <w:szCs w:val="32"/>
          <w:lang w:val="zh-CN" w:eastAsia="zh-CN" w:bidi="ar-SA"/>
        </w:rPr>
        <w:t>月</w:t>
      </w:r>
    </w:p>
    <w:p>
      <w:pPr>
        <w:pStyle w:val="11"/>
        <w:keepNext w:val="0"/>
        <w:keepLines w:val="0"/>
        <w:pageBreakBefore w:val="0"/>
        <w:widowControl w:val="0"/>
        <w:kinsoku/>
        <w:wordWrap/>
        <w:overflowPunct/>
        <w:topLinePunct w:val="0"/>
        <w:autoSpaceDE/>
        <w:autoSpaceDN/>
        <w:bidi w:val="0"/>
        <w:adjustRightInd/>
        <w:snapToGrid/>
        <w:spacing w:after="0" w:afterLines="0" w:line="480" w:lineRule="exact"/>
        <w:ind w:left="0" w:leftChars="0" w:right="0" w:rightChars="0" w:firstLine="0" w:firstLineChars="0"/>
        <w:textAlignment w:val="auto"/>
        <w:rPr>
          <w:rFonts w:hint="eastAsia"/>
          <w:lang w:val="en-US" w:eastAsia="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bookmarkStart w:id="0" w:name="_Toc3269"/>
    </w:p>
    <w:p>
      <w:pPr>
        <w:pStyle w:val="3"/>
        <w:bidi w:val="0"/>
        <w:rPr>
          <w:rFonts w:hint="eastAsia" w:ascii="仿宋" w:hAnsi="仿宋" w:eastAsia="仿宋" w:cs="仿宋"/>
          <w:sz w:val="32"/>
          <w:szCs w:val="32"/>
          <w:lang w:val="en-US" w:eastAsia="zh-CN"/>
        </w:rPr>
      </w:pPr>
      <w:bookmarkStart w:id="1" w:name="_Toc23139"/>
      <w:r>
        <w:rPr>
          <w:rFonts w:hint="eastAsia" w:ascii="仿宋" w:hAnsi="仿宋" w:eastAsia="仿宋" w:cs="仿宋"/>
          <w:sz w:val="32"/>
          <w:szCs w:val="32"/>
          <w:lang w:val="en-US" w:eastAsia="zh-CN"/>
        </w:rPr>
        <w:t>1 前言</w:t>
      </w:r>
      <w:bookmarkEnd w:id="0"/>
      <w:bookmarkEnd w:id="1"/>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bookmarkStart w:id="2" w:name="_Toc27031"/>
      <w:bookmarkStart w:id="3" w:name="_Toc20039"/>
      <w:r>
        <w:rPr>
          <w:rFonts w:hint="eastAsia" w:ascii="仿宋" w:hAnsi="仿宋" w:eastAsia="仿宋" w:cs="仿宋"/>
          <w:color w:val="000000"/>
          <w:sz w:val="32"/>
          <w:szCs w:val="32"/>
          <w:lang w:val="en-US" w:eastAsia="zh-CN"/>
        </w:rPr>
        <w:t xml:space="preserve">企业根据《中华人民共和国环境保护法》、《企业事业单位环境信息公开办法》等有关规定，对我公司2020年第一季度环保排污情况进行信息公开。 </w:t>
      </w:r>
    </w:p>
    <w:bookmarkEnd w:id="2"/>
    <w:bookmarkEnd w:id="3"/>
    <w:p>
      <w:pPr>
        <w:pStyle w:val="3"/>
        <w:bidi w:val="0"/>
        <w:rPr>
          <w:rFonts w:hint="eastAsia" w:ascii="仿宋" w:hAnsi="仿宋" w:eastAsia="仿宋" w:cs="仿宋"/>
          <w:sz w:val="32"/>
          <w:szCs w:val="32"/>
          <w:lang w:val="en-US" w:eastAsia="zh-CN"/>
        </w:rPr>
      </w:pPr>
      <w:bookmarkStart w:id="4" w:name="_Toc2426"/>
      <w:bookmarkStart w:id="5" w:name="_Toc9315"/>
      <w:r>
        <w:rPr>
          <w:rFonts w:hint="eastAsia" w:ascii="仿宋" w:hAnsi="仿宋" w:eastAsia="仿宋" w:cs="仿宋"/>
          <w:sz w:val="32"/>
          <w:szCs w:val="32"/>
          <w:lang w:val="en-US" w:eastAsia="zh-CN"/>
        </w:rPr>
        <w:t>2 企业基本情况</w:t>
      </w:r>
      <w:bookmarkEnd w:id="4"/>
      <w:bookmarkEnd w:id="5"/>
    </w:p>
    <w:p>
      <w:pPr>
        <w:pStyle w:val="4"/>
        <w:bidi w:val="0"/>
        <w:rPr>
          <w:rFonts w:hint="eastAsia" w:ascii="仿宋" w:hAnsi="仿宋" w:eastAsia="仿宋" w:cs="仿宋"/>
          <w:sz w:val="32"/>
          <w:szCs w:val="32"/>
          <w:lang w:val="en-US" w:eastAsia="zh-CN"/>
        </w:rPr>
      </w:pPr>
      <w:bookmarkStart w:id="6" w:name="_Toc9907"/>
      <w:bookmarkStart w:id="7" w:name="_Toc412"/>
      <w:r>
        <w:rPr>
          <w:rFonts w:hint="eastAsia" w:ascii="仿宋" w:hAnsi="仿宋" w:eastAsia="仿宋" w:cs="仿宋"/>
          <w:sz w:val="32"/>
          <w:szCs w:val="32"/>
          <w:lang w:val="en-US" w:eastAsia="zh-CN"/>
        </w:rPr>
        <w:t>2.1 企业基本信息</w:t>
      </w:r>
      <w:bookmarkEnd w:id="6"/>
      <w:bookmarkEnd w:id="7"/>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sz w:val="32"/>
          <w:szCs w:val="32"/>
          <w:lang w:val="en-US" w:eastAsia="zh-CN"/>
        </w:rPr>
        <w:t>企业基本信息统计见下表。</w:t>
      </w:r>
    </w:p>
    <w:p>
      <w:pPr>
        <w:jc w:val="center"/>
        <w:rPr>
          <w:rFonts w:hint="default" w:ascii="Times New Roman" w:hAnsi="Times New Roman" w:eastAsia="宋体" w:cs="Times New Roman"/>
          <w:color w:val="000000"/>
          <w:kern w:val="2"/>
          <w:sz w:val="21"/>
          <w:szCs w:val="21"/>
          <w:lang w:val="en-US" w:eastAsia="zh-CN" w:bidi="ar-SA"/>
        </w:rPr>
      </w:pPr>
    </w:p>
    <w:p>
      <w:pPr>
        <w:jc w:val="center"/>
        <w:rPr>
          <w:rFonts w:hint="eastAsia" w:ascii="Times New Roman" w:hAnsi="Times New Roman" w:eastAsia="宋体" w:cs="Times New Roman"/>
          <w:b/>
          <w:bCs/>
          <w:color w:val="auto"/>
          <w:sz w:val="44"/>
          <w:szCs w:val="44"/>
          <w:lang w:eastAsia="zh-CN"/>
        </w:rPr>
      </w:pPr>
      <w:r>
        <w:rPr>
          <w:rFonts w:hint="default" w:ascii="Times New Roman" w:hAnsi="Times New Roman" w:eastAsia="宋体" w:cs="Times New Roman"/>
          <w:color w:val="000000"/>
          <w:kern w:val="2"/>
          <w:sz w:val="21"/>
          <w:szCs w:val="21"/>
          <w:lang w:val="en-US" w:eastAsia="zh-CN" w:bidi="ar-SA"/>
        </w:rPr>
        <w:t>表</w:t>
      </w:r>
      <w:r>
        <w:rPr>
          <w:rFonts w:hint="eastAsia" w:ascii="Times New Roman" w:hAnsi="Times New Roman"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 xml:space="preserve"> </w:t>
      </w:r>
      <w:r>
        <w:rPr>
          <w:rFonts w:hint="eastAsia" w:ascii="Times New Roman" w:hAnsi="Times New Roman" w:cs="Times New Roman"/>
          <w:color w:val="000000"/>
          <w:kern w:val="2"/>
          <w:sz w:val="21"/>
          <w:szCs w:val="21"/>
          <w:lang w:val="en-US" w:eastAsia="zh-CN" w:bidi="ar-SA"/>
        </w:rPr>
        <w:t xml:space="preserve"> </w:t>
      </w:r>
      <w:r>
        <w:rPr>
          <w:rFonts w:hint="default" w:ascii="Times New Roman" w:hAnsi="Times New Roman" w:eastAsia="宋体" w:cs="Times New Roman"/>
          <w:color w:val="000000"/>
          <w:kern w:val="2"/>
          <w:sz w:val="21"/>
          <w:szCs w:val="21"/>
          <w:lang w:val="en-US" w:eastAsia="zh-CN" w:bidi="ar-SA"/>
        </w:rPr>
        <w:t>企业基本信息统计表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856"/>
        <w:gridCol w:w="1701"/>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名称</w:t>
            </w:r>
          </w:p>
        </w:tc>
        <w:tc>
          <w:tcPr>
            <w:tcW w:w="6734" w:type="dxa"/>
            <w:gridSpan w:val="3"/>
            <w:noWrap w:val="0"/>
            <w:vAlign w:val="center"/>
          </w:tcPr>
          <w:p>
            <w:pPr>
              <w:widowControl/>
              <w:spacing w:line="360" w:lineRule="auto"/>
              <w:jc w:val="center"/>
              <w:rPr>
                <w:rFonts w:hint="default" w:eastAsia="宋体"/>
                <w:szCs w:val="21"/>
                <w:lang w:val="en-US" w:eastAsia="zh-CN"/>
              </w:rPr>
            </w:pPr>
            <w:r>
              <w:rPr>
                <w:rFonts w:hint="eastAsia"/>
                <w:color w:val="000000"/>
                <w:szCs w:val="21"/>
                <w:lang w:val="en-US" w:eastAsia="zh-CN"/>
              </w:rPr>
              <w:t>安阳盈德气体有限公司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地址</w:t>
            </w:r>
          </w:p>
        </w:tc>
        <w:tc>
          <w:tcPr>
            <w:tcW w:w="2856" w:type="dxa"/>
            <w:noWrap w:val="0"/>
            <w:vAlign w:val="center"/>
          </w:tcPr>
          <w:p>
            <w:pPr>
              <w:pStyle w:val="49"/>
              <w:spacing w:line="360" w:lineRule="auto"/>
              <w:ind w:left="0"/>
              <w:jc w:val="center"/>
              <w:rPr>
                <w:rFonts w:hint="default" w:ascii="Times New Roman" w:hAnsi="Times New Roman" w:eastAsia="宋体"/>
                <w:color w:val="000000"/>
                <w:kern w:val="2"/>
                <w:sz w:val="21"/>
                <w:szCs w:val="21"/>
                <w:lang w:val="en-US" w:eastAsia="zh-CN"/>
              </w:rPr>
            </w:pPr>
            <w:r>
              <w:rPr>
                <w:rFonts w:hint="eastAsia" w:ascii="Times New Roman" w:hAnsi="Times New Roman"/>
                <w:color w:val="000000"/>
                <w:kern w:val="2"/>
                <w:sz w:val="21"/>
                <w:szCs w:val="21"/>
                <w:lang w:val="en-US" w:eastAsia="zh-CN"/>
              </w:rPr>
              <w:t>滑县产业集聚区中盈路2号</w:t>
            </w:r>
          </w:p>
        </w:tc>
        <w:tc>
          <w:tcPr>
            <w:tcW w:w="1701" w:type="dxa"/>
            <w:noWrap w:val="0"/>
            <w:vAlign w:val="center"/>
          </w:tcPr>
          <w:p>
            <w:pPr>
              <w:widowControl/>
              <w:spacing w:line="360" w:lineRule="auto"/>
              <w:jc w:val="center"/>
              <w:rPr>
                <w:szCs w:val="21"/>
              </w:rPr>
            </w:pPr>
            <w:r>
              <w:rPr>
                <w:szCs w:val="21"/>
              </w:rPr>
              <w:t>所在市</w:t>
            </w:r>
          </w:p>
        </w:tc>
        <w:tc>
          <w:tcPr>
            <w:tcW w:w="2177" w:type="dxa"/>
            <w:noWrap w:val="0"/>
            <w:vAlign w:val="center"/>
          </w:tcPr>
          <w:p>
            <w:pPr>
              <w:widowControl/>
              <w:spacing w:line="360" w:lineRule="auto"/>
              <w:jc w:val="center"/>
              <w:rPr>
                <w:szCs w:val="21"/>
              </w:rPr>
            </w:pPr>
            <w:r>
              <w:rPr>
                <w:szCs w:val="21"/>
              </w:rPr>
              <w:t>安阳市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rFonts w:hint="eastAsia"/>
                <w:color w:val="000000"/>
                <w:szCs w:val="21"/>
              </w:rPr>
              <w:t>成立</w:t>
            </w:r>
            <w:r>
              <w:rPr>
                <w:color w:val="000000"/>
                <w:szCs w:val="21"/>
              </w:rPr>
              <w:t>日期</w:t>
            </w:r>
          </w:p>
        </w:tc>
        <w:tc>
          <w:tcPr>
            <w:tcW w:w="6734" w:type="dxa"/>
            <w:gridSpan w:val="3"/>
            <w:noWrap w:val="0"/>
            <w:vAlign w:val="center"/>
          </w:tcPr>
          <w:p>
            <w:pPr>
              <w:widowControl/>
              <w:spacing w:line="360" w:lineRule="auto"/>
              <w:jc w:val="center"/>
              <w:rPr>
                <w:rFonts w:hint="default" w:eastAsia="宋体"/>
                <w:szCs w:val="21"/>
                <w:lang w:val="en-US" w:eastAsia="zh-CN"/>
              </w:rPr>
            </w:pPr>
            <w:r>
              <w:rPr>
                <w:color w:val="000000"/>
                <w:szCs w:val="21"/>
              </w:rPr>
              <w:t>20</w:t>
            </w:r>
            <w:r>
              <w:rPr>
                <w:rFonts w:hint="eastAsia"/>
                <w:color w:val="000000"/>
                <w:szCs w:val="21"/>
                <w:lang w:val="en-US" w:eastAsia="zh-CN"/>
              </w:rPr>
              <w:t>10</w:t>
            </w:r>
            <w:r>
              <w:rPr>
                <w:color w:val="000000"/>
                <w:szCs w:val="21"/>
              </w:rPr>
              <w:t>年</w:t>
            </w:r>
            <w:r>
              <w:rPr>
                <w:rFonts w:hint="eastAsia"/>
                <w:color w:val="000000"/>
                <w:szCs w:val="21"/>
                <w:lang w:val="en-US" w:eastAsia="zh-CN"/>
              </w:rPr>
              <w:t>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法定代表人</w:t>
            </w:r>
          </w:p>
        </w:tc>
        <w:tc>
          <w:tcPr>
            <w:tcW w:w="2856" w:type="dxa"/>
            <w:noWrap w:val="0"/>
            <w:vAlign w:val="center"/>
          </w:tcPr>
          <w:p>
            <w:pPr>
              <w:widowControl/>
              <w:spacing w:line="360" w:lineRule="auto"/>
              <w:jc w:val="center"/>
              <w:rPr>
                <w:rFonts w:hint="eastAsia" w:eastAsia="宋体"/>
                <w:color w:val="000000"/>
                <w:szCs w:val="21"/>
                <w:lang w:eastAsia="zh-CN"/>
              </w:rPr>
            </w:pPr>
            <w:r>
              <w:rPr>
                <w:rFonts w:hint="eastAsia"/>
                <w:szCs w:val="21"/>
                <w:lang w:val="en-US" w:eastAsia="zh-CN"/>
              </w:rPr>
              <w:t>陈凯</w:t>
            </w:r>
          </w:p>
        </w:tc>
        <w:tc>
          <w:tcPr>
            <w:tcW w:w="1701" w:type="dxa"/>
            <w:noWrap w:val="0"/>
            <w:vAlign w:val="center"/>
          </w:tcPr>
          <w:p>
            <w:pPr>
              <w:widowControl/>
              <w:spacing w:line="360" w:lineRule="auto"/>
              <w:jc w:val="center"/>
              <w:rPr>
                <w:szCs w:val="21"/>
              </w:rPr>
            </w:pPr>
            <w:r>
              <w:rPr>
                <w:szCs w:val="21"/>
              </w:rPr>
              <w:t>邮政编码</w:t>
            </w:r>
          </w:p>
        </w:tc>
        <w:tc>
          <w:tcPr>
            <w:tcW w:w="2177" w:type="dxa"/>
            <w:noWrap w:val="0"/>
            <w:vAlign w:val="center"/>
          </w:tcPr>
          <w:p>
            <w:pPr>
              <w:widowControl/>
              <w:spacing w:line="360" w:lineRule="auto"/>
              <w:jc w:val="center"/>
              <w:rPr>
                <w:szCs w:val="21"/>
              </w:rPr>
            </w:pPr>
            <w:r>
              <w:rPr>
                <w:szCs w:val="21"/>
              </w:rPr>
              <w:t>456400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联系电话</w:t>
            </w:r>
          </w:p>
        </w:tc>
        <w:tc>
          <w:tcPr>
            <w:tcW w:w="2856" w:type="dxa"/>
            <w:noWrap w:val="0"/>
            <w:vAlign w:val="center"/>
          </w:tcPr>
          <w:p>
            <w:pPr>
              <w:pStyle w:val="49"/>
              <w:spacing w:line="360" w:lineRule="auto"/>
              <w:ind w:left="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15515062865</w:t>
            </w:r>
          </w:p>
        </w:tc>
        <w:tc>
          <w:tcPr>
            <w:tcW w:w="1701" w:type="dxa"/>
            <w:noWrap w:val="0"/>
            <w:vAlign w:val="center"/>
          </w:tcPr>
          <w:p>
            <w:pPr>
              <w:widowControl/>
              <w:spacing w:line="360" w:lineRule="auto"/>
              <w:jc w:val="center"/>
              <w:rPr>
                <w:rFonts w:hint="eastAsia"/>
                <w:szCs w:val="21"/>
              </w:rPr>
            </w:pPr>
            <w:r>
              <w:rPr>
                <w:rFonts w:hint="eastAsia"/>
                <w:szCs w:val="21"/>
              </w:rPr>
              <w:t>劳动定员</w:t>
            </w:r>
          </w:p>
        </w:tc>
        <w:tc>
          <w:tcPr>
            <w:tcW w:w="2177" w:type="dxa"/>
            <w:noWrap w:val="0"/>
            <w:vAlign w:val="center"/>
          </w:tcPr>
          <w:p>
            <w:pPr>
              <w:widowControl/>
              <w:spacing w:line="360" w:lineRule="auto"/>
              <w:jc w:val="center"/>
              <w:rPr>
                <w:szCs w:val="21"/>
              </w:rPr>
            </w:pPr>
            <w:r>
              <w:rPr>
                <w:rFonts w:hint="eastAsia"/>
                <w:szCs w:val="21"/>
                <w:lang w:val="en-US" w:eastAsia="zh-CN"/>
              </w:rPr>
              <w:t>287</w:t>
            </w:r>
            <w:r>
              <w:rPr>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企业规模</w:t>
            </w:r>
          </w:p>
        </w:tc>
        <w:tc>
          <w:tcPr>
            <w:tcW w:w="2856" w:type="dxa"/>
            <w:noWrap w:val="0"/>
            <w:vAlign w:val="center"/>
          </w:tcPr>
          <w:p>
            <w:pPr>
              <w:pStyle w:val="49"/>
              <w:spacing w:line="360" w:lineRule="auto"/>
              <w:ind w:left="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150000Nm³/h合成气</w:t>
            </w:r>
          </w:p>
        </w:tc>
        <w:tc>
          <w:tcPr>
            <w:tcW w:w="1701" w:type="dxa"/>
            <w:noWrap w:val="0"/>
            <w:vAlign w:val="center"/>
          </w:tcPr>
          <w:p>
            <w:pPr>
              <w:widowControl/>
              <w:spacing w:line="360" w:lineRule="auto"/>
              <w:jc w:val="center"/>
              <w:rPr>
                <w:szCs w:val="21"/>
              </w:rPr>
            </w:pPr>
            <w:r>
              <w:rPr>
                <w:szCs w:val="21"/>
              </w:rPr>
              <w:t>占地面积</w:t>
            </w:r>
          </w:p>
        </w:tc>
        <w:tc>
          <w:tcPr>
            <w:tcW w:w="2177" w:type="dxa"/>
            <w:noWrap w:val="0"/>
            <w:vAlign w:val="center"/>
          </w:tcPr>
          <w:p>
            <w:pPr>
              <w:keepNext w:val="0"/>
              <w:keepLines w:val="0"/>
              <w:widowControl/>
              <w:suppressLineNumbers w:val="0"/>
              <w:jc w:val="right"/>
              <w:textAlignment w:val="center"/>
              <w:rPr>
                <w:rFonts w:hint="default"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226393.3</w:t>
            </w:r>
            <w:r>
              <w:rPr>
                <w:rFonts w:hint="eastAsia" w:ascii="宋体" w:hAnsi="宋体" w:cs="宋体"/>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主要原料</w:t>
            </w:r>
          </w:p>
        </w:tc>
        <w:tc>
          <w:tcPr>
            <w:tcW w:w="2856" w:type="dxa"/>
            <w:noWrap w:val="0"/>
            <w:vAlign w:val="center"/>
          </w:tcPr>
          <w:p>
            <w:pPr>
              <w:widowControl/>
              <w:spacing w:line="360" w:lineRule="auto"/>
              <w:jc w:val="center"/>
              <w:rPr>
                <w:rFonts w:hint="eastAsia" w:eastAsia="宋体"/>
                <w:szCs w:val="21"/>
                <w:lang w:eastAsia="zh-CN"/>
              </w:rPr>
            </w:pPr>
            <w:r>
              <w:rPr>
                <w:rFonts w:hint="eastAsia"/>
                <w:szCs w:val="21"/>
                <w:lang w:val="en-US" w:eastAsia="zh-CN"/>
              </w:rPr>
              <w:t>原料煤</w:t>
            </w:r>
          </w:p>
        </w:tc>
        <w:tc>
          <w:tcPr>
            <w:tcW w:w="1701" w:type="dxa"/>
            <w:noWrap w:val="0"/>
            <w:vAlign w:val="center"/>
          </w:tcPr>
          <w:p>
            <w:pPr>
              <w:widowControl/>
              <w:spacing w:line="360" w:lineRule="auto"/>
              <w:jc w:val="center"/>
              <w:rPr>
                <w:szCs w:val="21"/>
              </w:rPr>
            </w:pPr>
            <w:r>
              <w:rPr>
                <w:szCs w:val="21"/>
              </w:rPr>
              <w:t>所属行业</w:t>
            </w:r>
          </w:p>
        </w:tc>
        <w:tc>
          <w:tcPr>
            <w:tcW w:w="2177" w:type="dxa"/>
            <w:noWrap w:val="0"/>
            <w:vAlign w:val="center"/>
          </w:tcPr>
          <w:p>
            <w:pPr>
              <w:widowControl/>
              <w:spacing w:line="360" w:lineRule="auto"/>
              <w:jc w:val="center"/>
              <w:rPr>
                <w:rFonts w:hint="eastAsia" w:eastAsia="宋体"/>
                <w:szCs w:val="21"/>
                <w:lang w:eastAsia="zh-CN"/>
              </w:rPr>
            </w:pPr>
            <w:r>
              <w:rPr>
                <w:rFonts w:hint="eastAsia"/>
                <w:szCs w:val="21"/>
                <w:lang w:val="en-US" w:eastAsia="zh-CN"/>
              </w:rPr>
              <w:t>氮肥制造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主要固体废物</w:t>
            </w:r>
          </w:p>
        </w:tc>
        <w:tc>
          <w:tcPr>
            <w:tcW w:w="6734" w:type="dxa"/>
            <w:gridSpan w:val="3"/>
            <w:noWrap w:val="0"/>
            <w:vAlign w:val="center"/>
          </w:tcPr>
          <w:p>
            <w:pPr>
              <w:widowControl/>
              <w:spacing w:line="360" w:lineRule="auto"/>
              <w:jc w:val="center"/>
              <w:rPr>
                <w:rFonts w:hint="default" w:eastAsia="宋体"/>
                <w:szCs w:val="21"/>
                <w:lang w:val="en-US" w:eastAsia="zh-CN"/>
              </w:rPr>
            </w:pPr>
            <w:r>
              <w:rPr>
                <w:rFonts w:hint="eastAsia"/>
                <w:szCs w:val="21"/>
                <w:lang w:val="en-US" w:eastAsia="zh-CN"/>
              </w:rPr>
              <w:t>灰渣、生活垃圾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经度</w:t>
            </w:r>
          </w:p>
        </w:tc>
        <w:tc>
          <w:tcPr>
            <w:tcW w:w="2856" w:type="dxa"/>
            <w:noWrap w:val="0"/>
            <w:vAlign w:val="center"/>
          </w:tcPr>
          <w:p>
            <w:pPr>
              <w:rPr>
                <w:szCs w:val="21"/>
              </w:rPr>
            </w:pPr>
            <w:r>
              <w:rPr>
                <w:rFonts w:ascii="Times New Roman" w:hAnsi="Times New Roman"/>
              </w:rPr>
              <w:t>114º</w:t>
            </w:r>
            <w:r>
              <w:rPr>
                <w:rFonts w:hint="eastAsia" w:ascii="Times New Roman" w:hAnsi="Times New Roman"/>
              </w:rPr>
              <w:t xml:space="preserve"> </w:t>
            </w:r>
            <w:r>
              <w:rPr>
                <w:rFonts w:ascii="Times New Roman" w:hAnsi="Times New Roman"/>
              </w:rPr>
              <w:t>34′</w:t>
            </w:r>
            <w:r>
              <w:rPr>
                <w:rFonts w:hint="eastAsia" w:ascii="Times New Roman" w:hAnsi="Times New Roman"/>
              </w:rPr>
              <w:t xml:space="preserve"> </w:t>
            </w:r>
            <w:r>
              <w:rPr>
                <w:rFonts w:ascii="Times New Roman" w:hAnsi="Times New Roman"/>
              </w:rPr>
              <w:t>40.48″</w:t>
            </w:r>
          </w:p>
        </w:tc>
        <w:tc>
          <w:tcPr>
            <w:tcW w:w="1701" w:type="dxa"/>
            <w:noWrap w:val="0"/>
            <w:vAlign w:val="center"/>
          </w:tcPr>
          <w:p>
            <w:pPr>
              <w:rPr>
                <w:szCs w:val="21"/>
              </w:rPr>
            </w:pPr>
            <w:r>
              <w:rPr>
                <w:rFonts w:ascii="宋体" w:hAnsi="宋体"/>
              </w:rPr>
              <w:t>纬度</w:t>
            </w:r>
          </w:p>
        </w:tc>
        <w:tc>
          <w:tcPr>
            <w:tcW w:w="2177" w:type="dxa"/>
            <w:noWrap w:val="0"/>
            <w:vAlign w:val="center"/>
          </w:tcPr>
          <w:p>
            <w:pPr>
              <w:rPr>
                <w:szCs w:val="21"/>
              </w:rPr>
            </w:pPr>
            <w:r>
              <w:rPr>
                <w:rFonts w:ascii="Times New Roman" w:hAnsi="Times New Roman"/>
              </w:rPr>
              <w:t>35º</w:t>
            </w:r>
            <w:r>
              <w:rPr>
                <w:rFonts w:hint="eastAsia" w:ascii="Times New Roman" w:hAnsi="Times New Roman"/>
              </w:rPr>
              <w:t xml:space="preserve"> </w:t>
            </w:r>
            <w:r>
              <w:rPr>
                <w:rFonts w:ascii="Times New Roman" w:hAnsi="Times New Roman"/>
              </w:rPr>
              <w:t>31′</w:t>
            </w:r>
            <w:r>
              <w:rPr>
                <w:rFonts w:hint="eastAsia" w:ascii="Times New Roman" w:hAnsi="Times New Roman"/>
              </w:rPr>
              <w:t xml:space="preserve"> </w:t>
            </w:r>
            <w:r>
              <w:rPr>
                <w:rFonts w:ascii="Times New Roman" w:hAnsi="Times New Roman"/>
              </w:rPr>
              <w:t>57.58″</w:t>
            </w:r>
          </w:p>
        </w:tc>
      </w:tr>
    </w:tbl>
    <w:p>
      <w:pPr>
        <w:spacing w:line="500" w:lineRule="exact"/>
        <w:rPr>
          <w:rFonts w:hint="eastAsia" w:ascii="Times New Roman" w:hAnsi="Times New Roman" w:cs="Times New Roman"/>
          <w:kern w:val="0"/>
          <w:sz w:val="24"/>
          <w:lang w:val="en-US" w:eastAsia="zh-CN"/>
        </w:rPr>
      </w:pPr>
    </w:p>
    <w:p>
      <w:pPr>
        <w:pStyle w:val="4"/>
        <w:bidi w:val="0"/>
        <w:rPr>
          <w:rFonts w:hint="eastAsia" w:ascii="仿宋" w:hAnsi="仿宋" w:eastAsia="仿宋" w:cs="仿宋"/>
          <w:sz w:val="32"/>
          <w:szCs w:val="32"/>
          <w:lang w:val="en-US" w:eastAsia="zh-CN"/>
        </w:rPr>
      </w:pPr>
      <w:bookmarkStart w:id="8" w:name="_Toc18332"/>
      <w:bookmarkStart w:id="9" w:name="_Toc31545"/>
      <w:r>
        <w:rPr>
          <w:rFonts w:hint="eastAsia" w:ascii="仿宋" w:hAnsi="仿宋" w:eastAsia="仿宋" w:cs="仿宋"/>
          <w:sz w:val="32"/>
          <w:szCs w:val="32"/>
          <w:lang w:val="en-US" w:eastAsia="zh-CN"/>
        </w:rPr>
        <w:t>2.2 生产工艺流程简介</w:t>
      </w:r>
      <w:bookmarkEnd w:id="8"/>
      <w:bookmarkEnd w:id="9"/>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原料煤经磨煤及煤浆制备单元，煤浆经隔膜泵加压，通过四个对称布置在气化炉中上部同一水平面的工艺喷嘴，与氧气一起对喷进入气化炉。在压力~4.2Mpa、温度~1340℃下气化，再经合成气洗涤单元洗涤除尘后，粗煤气送出至变换。渣/水处理单元将多喷嘴对置式气化及煤气初步净化工序产生的黑水所含的固体和溶解的气体分离出来，并将黑水所含的热量加以回收。</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变换采用Co-Mo宽温耐硫变换；低温甲醇洗脱硫脱碳；气体精制采用液氮洗；超级克劳斯硫回收工艺。 </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配套的空分装置采用分子筛净化空气，空气增压，液氧内压缩，带增压透平膨胀机及液体膨胀机制冷，膨胀空气进下塔，采用规整填料塔及全精馏无氢制氩的工艺流程。为煤气化装置提供高纯氧气，并为氨合成回路提供高纯氮气，并提供全厂正常生产时所需的仪表空气和工厂工艺空气。</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本项目脱硫脱碳、空分所需冷量由中盈公司氨合成的两套氨冰机提供。</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该项目生产过程中发生的主要化学反应如下：</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2C + O2 = 2CO                   C + O2 = CO2</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C + H2O = CO + H2              C + 2H2O = CO2 + 2H2</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CO + H2O = CO2 + H2</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生产工艺流程见下图</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图1 生产工艺流程图</w:t>
      </w:r>
    </w:p>
    <w:p>
      <w:pPr>
        <w:keepNext w:val="0"/>
        <w:keepLines w:val="0"/>
        <w:pageBreakBefore w:val="0"/>
        <w:widowControl w:val="0"/>
        <w:kinsoku/>
        <w:wordWrap/>
        <w:overflowPunct/>
        <w:topLinePunct w:val="0"/>
        <w:autoSpaceDE/>
        <w:autoSpaceDN/>
        <w:bidi w:val="0"/>
        <w:adjustRightInd w:val="0"/>
        <w:snapToGrid w:val="0"/>
        <w:spacing w:line="276" w:lineRule="auto"/>
        <w:ind w:firstLine="420" w:firstLineChars="200"/>
        <w:textAlignment w:val="auto"/>
        <w:rPr>
          <w:rFonts w:hint="default" w:ascii="Times New Roman" w:hAnsi="Times New Roman" w:eastAsia="宋体" w:cs="Times New Roman"/>
          <w:b/>
          <w:bCs w:val="0"/>
          <w:sz w:val="28"/>
          <w:szCs w:val="28"/>
        </w:rPr>
      </w:pPr>
      <w:r>
        <w:pict>
          <v:shape id="_x0000_s1026" o:spid="_x0000_s1026" o:spt="75" type="#_x0000_t75" style="position:absolute;left:0pt;margin-left:12.3pt;margin-top:13.75pt;height:190.25pt;width:444pt;mso-wrap-distance-bottom:0pt;mso-wrap-distance-left:9pt;mso-wrap-distance-right:9pt;mso-wrap-distance-top:0pt;z-index:251667456;mso-width-relative:page;mso-height-relative:page;" o:ole="t" filled="f" o:preferrelative="t" stroked="f" coordsize="21600,21600">
            <v:path/>
            <v:fill on="f" focussize="0,0"/>
            <v:stroke on="f"/>
            <v:imagedata r:id="rId10" o:title=""/>
            <o:lock v:ext="edit" aspectratio="t"/>
            <w10:wrap type="square"/>
          </v:shape>
          <o:OLEObject Type="Embed" ProgID="SmartDraw.2" ShapeID="_x0000_s1026" DrawAspect="Content" ObjectID="_1468075725" r:id="rId9">
            <o:LockedField>false</o:LockedField>
          </o:OLEObject>
        </w:pict>
      </w:r>
    </w:p>
    <w:p>
      <w:pPr>
        <w:pStyle w:val="4"/>
        <w:bidi w:val="0"/>
        <w:rPr>
          <w:rFonts w:hint="eastAsia" w:ascii="仿宋" w:hAnsi="仿宋" w:eastAsia="仿宋" w:cs="仿宋"/>
          <w:sz w:val="32"/>
          <w:szCs w:val="32"/>
          <w:lang w:val="en-US" w:eastAsia="zh-CN"/>
        </w:rPr>
      </w:pPr>
      <w:bookmarkStart w:id="10" w:name="_Toc8132"/>
      <w:bookmarkStart w:id="11" w:name="_Toc10466"/>
      <w:r>
        <w:rPr>
          <w:rFonts w:hint="eastAsia" w:ascii="仿宋" w:hAnsi="仿宋" w:eastAsia="仿宋" w:cs="仿宋"/>
          <w:sz w:val="32"/>
          <w:szCs w:val="32"/>
          <w:lang w:val="en-US" w:eastAsia="zh-CN"/>
        </w:rPr>
        <w:t>3 “三废”的产生情况及治理措施</w:t>
      </w:r>
      <w:bookmarkEnd w:id="10"/>
      <w:bookmarkEnd w:id="11"/>
    </w:p>
    <w:p>
      <w:pPr>
        <w:pStyle w:val="12"/>
        <w:spacing w:line="520" w:lineRule="exact"/>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3.1. 各装置产</w:t>
      </w:r>
      <w:r>
        <w:rPr>
          <w:rFonts w:hint="eastAsia" w:ascii="仿宋" w:hAnsi="仿宋" w:eastAsia="仿宋" w:cs="仿宋"/>
          <w:sz w:val="32"/>
          <w:szCs w:val="32"/>
        </w:rPr>
        <w:t>污环节</w:t>
      </w:r>
    </w:p>
    <w:p>
      <w:pPr>
        <w:numPr>
          <w:ilvl w:val="0"/>
          <w:numId w:val="0"/>
        </w:numPr>
        <w:spacing w:line="52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(1)空分装置产污环节</w:t>
      </w:r>
    </w:p>
    <w:p>
      <w:pPr>
        <w:pStyle w:val="2"/>
        <w:rPr>
          <w:rFonts w:hint="eastAsia"/>
          <w:lang w:val="en-US"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36"/>
        <w:gridCol w:w="1549"/>
        <w:gridCol w:w="1355"/>
        <w:gridCol w:w="1936"/>
        <w:gridCol w:w="19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产生量</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主要成份</w:t>
            </w:r>
          </w:p>
        </w:tc>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固废性质</w:t>
            </w:r>
          </w:p>
        </w:tc>
        <w:tc>
          <w:tcPr>
            <w:tcW w:w="195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废铝胶</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20t/3a</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w:t>
            </w:r>
            <w:r>
              <w:rPr>
                <w:rFonts w:hint="eastAsia" w:ascii="仿宋" w:hAnsi="仿宋" w:eastAsia="仿宋" w:cs="仿宋"/>
                <w:sz w:val="21"/>
                <w:szCs w:val="21"/>
                <w:vertAlign w:val="subscript"/>
              </w:rPr>
              <w:t>2</w:t>
            </w:r>
            <w:r>
              <w:rPr>
                <w:rFonts w:hint="eastAsia" w:ascii="仿宋" w:hAnsi="仿宋" w:eastAsia="仿宋" w:cs="仿宋"/>
                <w:sz w:val="21"/>
                <w:szCs w:val="21"/>
              </w:rPr>
              <w:t>O</w:t>
            </w:r>
            <w:r>
              <w:rPr>
                <w:rFonts w:hint="eastAsia" w:ascii="仿宋" w:hAnsi="仿宋" w:eastAsia="仿宋" w:cs="仿宋"/>
                <w:sz w:val="21"/>
                <w:szCs w:val="21"/>
                <w:vertAlign w:val="subscript"/>
              </w:rPr>
              <w:t>3</w:t>
            </w:r>
          </w:p>
        </w:tc>
        <w:tc>
          <w:tcPr>
            <w:tcW w:w="1936" w:type="dxa"/>
            <w:noWrap w:val="0"/>
            <w:vAlign w:val="center"/>
          </w:tcPr>
          <w:p>
            <w:pPr>
              <w:spacing w:line="30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危险废物</w:t>
            </w:r>
          </w:p>
        </w:tc>
        <w:tc>
          <w:tcPr>
            <w:tcW w:w="1956"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有资质危废单位处置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废分子筛吸附剂</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80t/3a</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w:t>
            </w:r>
            <w:r>
              <w:rPr>
                <w:rFonts w:hint="eastAsia" w:ascii="仿宋" w:hAnsi="仿宋" w:eastAsia="仿宋" w:cs="仿宋"/>
                <w:sz w:val="21"/>
                <w:szCs w:val="21"/>
                <w:vertAlign w:val="subscript"/>
              </w:rPr>
              <w:t>2</w:t>
            </w:r>
            <w:r>
              <w:rPr>
                <w:rFonts w:hint="eastAsia" w:ascii="仿宋" w:hAnsi="仿宋" w:eastAsia="仿宋" w:cs="仿宋"/>
                <w:sz w:val="21"/>
                <w:szCs w:val="21"/>
              </w:rPr>
              <w:t>O</w:t>
            </w:r>
            <w:r>
              <w:rPr>
                <w:rFonts w:hint="eastAsia" w:ascii="仿宋" w:hAnsi="仿宋" w:eastAsia="仿宋" w:cs="仿宋"/>
                <w:sz w:val="21"/>
                <w:szCs w:val="21"/>
                <w:vertAlign w:val="subscript"/>
              </w:rPr>
              <w:t>3</w:t>
            </w:r>
            <w:r>
              <w:rPr>
                <w:rFonts w:hint="eastAsia" w:ascii="仿宋" w:hAnsi="仿宋" w:eastAsia="仿宋" w:cs="仿宋"/>
                <w:sz w:val="21"/>
                <w:szCs w:val="21"/>
              </w:rPr>
              <w:t>、SiO</w:t>
            </w:r>
            <w:r>
              <w:rPr>
                <w:rFonts w:hint="eastAsia" w:ascii="仿宋" w:hAnsi="仿宋" w:eastAsia="仿宋" w:cs="仿宋"/>
                <w:sz w:val="21"/>
                <w:szCs w:val="21"/>
                <w:vertAlign w:val="subscript"/>
              </w:rPr>
              <w:t>2</w:t>
            </w:r>
          </w:p>
        </w:tc>
        <w:tc>
          <w:tcPr>
            <w:tcW w:w="1936" w:type="dxa"/>
            <w:noWrap w:val="0"/>
            <w:vAlign w:val="center"/>
          </w:tcPr>
          <w:p>
            <w:pPr>
              <w:spacing w:line="30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危险废物</w:t>
            </w:r>
          </w:p>
        </w:tc>
        <w:tc>
          <w:tcPr>
            <w:tcW w:w="1956"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有资质危废单位处置</w:t>
            </w:r>
          </w:p>
        </w:tc>
      </w:tr>
    </w:tbl>
    <w:p>
      <w:pPr>
        <w:spacing w:line="300" w:lineRule="exact"/>
        <w:jc w:val="center"/>
        <w:rPr>
          <w:rFonts w:hint="default" w:ascii="Times New Roman" w:hAnsi="Times New Roman" w:cs="Times New Roman" w:eastAsiaTheme="minorEastAsia"/>
          <w:sz w:val="24"/>
          <w:szCs w:val="24"/>
          <w:lang w:val="en-US" w:eastAsia="zh-CN"/>
        </w:rPr>
      </w:pPr>
    </w:p>
    <w:p>
      <w:pPr>
        <w:pStyle w:val="60"/>
        <w:spacing w:line="520" w:lineRule="exact"/>
        <w:ind w:firstLine="614" w:firstLineChars="192"/>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 xml:space="preserve">  (2)备煤及水煤浆气化装置产污环节</w:t>
      </w:r>
    </w:p>
    <w:tbl>
      <w:tblPr>
        <w:tblStyle w:val="21"/>
        <w:tblW w:w="88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26"/>
        <w:gridCol w:w="709"/>
        <w:gridCol w:w="2220"/>
        <w:gridCol w:w="2835"/>
        <w:gridCol w:w="20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709"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正常</w:t>
            </w:r>
          </w:p>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排放</w:t>
            </w: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气化破碎楼尾气</w:t>
            </w:r>
          </w:p>
        </w:tc>
        <w:tc>
          <w:tcPr>
            <w:tcW w:w="2835"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袋式除尘器除尘后由50m高排气筒排放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煤贮运工段筒仓尾气</w:t>
            </w:r>
          </w:p>
        </w:tc>
        <w:tc>
          <w:tcPr>
            <w:tcW w:w="2835"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袋式除尘器除尘后由40m高排气筒排放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煤浆制备工段煤粉尘</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top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袋式除尘器除尘后由50m高排气筒排放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煤浆制备工段石灰石粉尘</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top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袋式除尘器除尘后由40m高排气筒排放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低压闪蒸气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CO、H2S、NH3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真空泵分离器出口尾气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CO、H2S</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25m高空排放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非正常</w:t>
            </w:r>
          </w:p>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排放</w:t>
            </w: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气化炉开工放空气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CO、H2、CO2、H2O、H2S</w:t>
            </w:r>
          </w:p>
        </w:tc>
        <w:tc>
          <w:tcPr>
            <w:tcW w:w="2080"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气化装置事故排放气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CO、H2、CO2、H2O、H2S</w:t>
            </w:r>
          </w:p>
        </w:tc>
        <w:tc>
          <w:tcPr>
            <w:tcW w:w="2080" w:type="dxa"/>
            <w:vMerge w:val="continue"/>
            <w:noWrap w:val="0"/>
            <w:vAlign w:val="center"/>
          </w:tcPr>
          <w:p>
            <w:pPr>
              <w:spacing w:line="300" w:lineRule="exact"/>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气化废水</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SS、氨氮、氰化物、硫化物、COD</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送终端废水处理装置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气化粗渣</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SiO2、Al2O3、Fe2O3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外售作建材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气化细渣</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SiO2、Al2O3、Fe2O3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外售作建材</w:t>
            </w:r>
          </w:p>
        </w:tc>
      </w:tr>
    </w:tbl>
    <w:p>
      <w:pPr>
        <w:pStyle w:val="8"/>
        <w:rPr>
          <w:rFonts w:hint="default" w:ascii="Times New Roman" w:hAnsi="Times New Roman" w:cs="Times New Roman" w:eastAsiaTheme="minorEastAsia"/>
          <w:sz w:val="24"/>
          <w:szCs w:val="24"/>
          <w:lang w:val="en-US" w:eastAsia="zh-CN"/>
        </w:rPr>
      </w:pPr>
    </w:p>
    <w:p>
      <w:pPr>
        <w:pStyle w:val="60"/>
        <w:spacing w:line="540" w:lineRule="exact"/>
        <w:ind w:firstLine="320" w:firstLineChars="100"/>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（3）变换装置产污环节</w:t>
      </w:r>
    </w:p>
    <w:tbl>
      <w:tblPr>
        <w:tblStyle w:val="21"/>
        <w:tblpPr w:leftFromText="180" w:rightFromText="180" w:vertAnchor="text" w:horzAnchor="page" w:tblpX="1564" w:tblpY="185"/>
        <w:tblOverlap w:val="never"/>
        <w:tblW w:w="88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939"/>
        <w:gridCol w:w="2100"/>
        <w:gridCol w:w="3045"/>
        <w:gridCol w:w="27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污染物</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污染源名称</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主要污染物</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废气</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冷凝液汽提塔尾气</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b w:val="0"/>
                <w:color w:val="000000"/>
                <w:spacing w:val="0"/>
                <w:sz w:val="21"/>
                <w:szCs w:val="21"/>
              </w:rPr>
              <w:t>CO、H</w:t>
            </w:r>
            <w:r>
              <w:rPr>
                <w:rFonts w:hint="eastAsia" w:ascii="宋体" w:hAnsi="宋体"/>
                <w:b w:val="0"/>
                <w:color w:val="000000"/>
                <w:spacing w:val="0"/>
                <w:sz w:val="21"/>
                <w:szCs w:val="21"/>
                <w:vertAlign w:val="subscript"/>
              </w:rPr>
              <w:t>2</w:t>
            </w:r>
            <w:r>
              <w:rPr>
                <w:rFonts w:hint="eastAsia" w:ascii="宋体" w:hAnsi="宋体"/>
                <w:b w:val="0"/>
                <w:color w:val="000000"/>
                <w:spacing w:val="0"/>
                <w:sz w:val="21"/>
                <w:szCs w:val="21"/>
              </w:rPr>
              <w:t>S</w:t>
            </w:r>
            <w:r>
              <w:rPr>
                <w:rFonts w:hint="eastAsia" w:ascii="宋体" w:hAnsi="宋体"/>
                <w:b w:val="0"/>
                <w:color w:val="000000"/>
                <w:sz w:val="21"/>
                <w:szCs w:val="21"/>
              </w:rPr>
              <w:t>、H</w:t>
            </w:r>
            <w:r>
              <w:rPr>
                <w:rFonts w:hint="eastAsia" w:ascii="宋体" w:hAnsi="宋体"/>
                <w:b w:val="0"/>
                <w:color w:val="000000"/>
                <w:sz w:val="21"/>
                <w:szCs w:val="21"/>
                <w:vertAlign w:val="subscript"/>
              </w:rPr>
              <w:t>2</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废水</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变换工艺冷凝液</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SS、氨氮、氰化物、硫化物、COD</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送制气工序用于洗涤粗煤气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固废</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变换废触媒</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Co、Mo</w:t>
            </w:r>
          </w:p>
        </w:tc>
        <w:tc>
          <w:tcPr>
            <w:tcW w:w="2744" w:type="dxa"/>
            <w:noWrap w:val="0"/>
            <w:vAlign w:val="center"/>
          </w:tcPr>
          <w:p>
            <w:pPr>
              <w:pStyle w:val="60"/>
              <w:spacing w:line="300" w:lineRule="exact"/>
              <w:jc w:val="center"/>
              <w:rPr>
                <w:rFonts w:hint="default" w:ascii="宋体" w:hAnsi="宋体" w:eastAsia="宋体"/>
                <w:b w:val="0"/>
                <w:snapToGrid w:val="0"/>
                <w:spacing w:val="0"/>
                <w:kern w:val="0"/>
                <w:sz w:val="21"/>
                <w:szCs w:val="21"/>
                <w:lang w:val="en-US" w:eastAsia="zh-CN"/>
              </w:rPr>
            </w:pPr>
            <w:r>
              <w:rPr>
                <w:rFonts w:hint="eastAsia" w:ascii="宋体" w:hAnsi="宋体" w:eastAsia="宋体"/>
                <w:b w:val="0"/>
                <w:snapToGrid w:val="0"/>
                <w:spacing w:val="0"/>
                <w:kern w:val="0"/>
                <w:sz w:val="21"/>
                <w:szCs w:val="21"/>
                <w:lang w:val="en-US" w:eastAsia="zh-CN"/>
              </w:rPr>
              <w:t>有资质危废单位处置</w:t>
            </w:r>
          </w:p>
        </w:tc>
      </w:tr>
    </w:tbl>
    <w:p>
      <w:pPr>
        <w:pStyle w:val="60"/>
        <w:spacing w:line="540" w:lineRule="exact"/>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 xml:space="preserve"> （4）酸性气体脱除装置产污环节</w:t>
      </w:r>
    </w:p>
    <w:tbl>
      <w:tblPr>
        <w:tblStyle w:val="21"/>
        <w:tblpPr w:leftFromText="180" w:rightFromText="180" w:vertAnchor="text" w:horzAnchor="page" w:tblpX="1539" w:tblpY="385"/>
        <w:tblOverlap w:val="never"/>
        <w:tblW w:w="905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4"/>
        <w:gridCol w:w="2531"/>
        <w:gridCol w:w="2914"/>
        <w:gridCol w:w="27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再生尾气</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CO2、N2、CO、甲醇、CH4</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30m高空排放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vMerge w:val="continue"/>
            <w:noWrap w:val="0"/>
            <w:vAlign w:val="center"/>
          </w:tcPr>
          <w:p>
            <w:pPr>
              <w:spacing w:line="300" w:lineRule="exact"/>
              <w:jc w:val="center"/>
              <w:rPr>
                <w:rFonts w:hint="eastAsia" w:ascii="仿宋" w:hAnsi="仿宋" w:eastAsia="仿宋" w:cs="仿宋"/>
                <w:sz w:val="21"/>
                <w:szCs w:val="21"/>
              </w:rPr>
            </w:pP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富含硫气</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CO2、N2、CH4、H2S</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去硫回收装置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甲醇水分离塔废水</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COD、SS、挥发酚、石油类</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去终端水处理装置</w:t>
            </w:r>
          </w:p>
        </w:tc>
      </w:tr>
    </w:tbl>
    <w:p>
      <w:pPr>
        <w:pStyle w:val="60"/>
        <w:spacing w:line="520" w:lineRule="exact"/>
        <w:rPr>
          <w:rFonts w:hint="eastAsia" w:ascii="微软雅黑" w:hAnsi="微软雅黑" w:eastAsia="微软雅黑" w:cs="微软雅黑"/>
          <w:b w:val="0"/>
          <w:spacing w:val="0"/>
          <w:kern w:val="2"/>
          <w:sz w:val="22"/>
          <w:szCs w:val="22"/>
          <w:lang w:val="en-US" w:eastAsia="zh-CN" w:bidi="ar-SA"/>
        </w:rPr>
      </w:pPr>
    </w:p>
    <w:p>
      <w:pPr>
        <w:pStyle w:val="60"/>
        <w:numPr>
          <w:ilvl w:val="0"/>
          <w:numId w:val="0"/>
        </w:numPr>
        <w:spacing w:line="520" w:lineRule="exact"/>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（5）液氮洗装置产污环节</w:t>
      </w:r>
    </w:p>
    <w:tbl>
      <w:tblPr>
        <w:tblStyle w:val="21"/>
        <w:tblpPr w:leftFromText="180" w:rightFromText="180" w:vertAnchor="text" w:horzAnchor="page" w:tblpX="1577" w:tblpY="328"/>
        <w:tblOverlap w:val="never"/>
        <w:tblW w:w="913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99"/>
        <w:gridCol w:w="2231"/>
        <w:gridCol w:w="2745"/>
        <w:gridCol w:w="2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96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液氮洗解吸气</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CO、N2、CH4、H2、Ar</w:t>
            </w:r>
          </w:p>
        </w:tc>
        <w:tc>
          <w:tcPr>
            <w:tcW w:w="296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液氮洗废分子筛</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SiO2、Al2O3等</w:t>
            </w:r>
          </w:p>
        </w:tc>
        <w:tc>
          <w:tcPr>
            <w:tcW w:w="2961"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有资质危废单位处置</w:t>
            </w:r>
          </w:p>
        </w:tc>
      </w:tr>
    </w:tbl>
    <w:p>
      <w:pPr>
        <w:pStyle w:val="60"/>
        <w:spacing w:line="480" w:lineRule="exact"/>
        <w:rPr>
          <w:rFonts w:hint="eastAsia" w:ascii="微软雅黑" w:hAnsi="微软雅黑" w:eastAsia="微软雅黑" w:cs="微软雅黑"/>
          <w:b w:val="0"/>
          <w:spacing w:val="0"/>
          <w:kern w:val="2"/>
          <w:sz w:val="22"/>
          <w:szCs w:val="22"/>
          <w:lang w:val="en-US" w:eastAsia="zh-CN" w:bidi="ar-SA"/>
        </w:rPr>
      </w:pPr>
    </w:p>
    <w:p>
      <w:pPr>
        <w:pStyle w:val="60"/>
        <w:spacing w:line="480" w:lineRule="exact"/>
        <w:rPr>
          <w:rFonts w:hint="eastAsia" w:ascii="仿宋" w:hAnsi="仿宋" w:eastAsia="仿宋" w:cs="仿宋"/>
          <w:sz w:val="32"/>
          <w:szCs w:val="32"/>
          <w:lang w:val="en-US" w:eastAsia="zh-CN"/>
        </w:rPr>
      </w:pPr>
      <w:r>
        <w:rPr>
          <w:rFonts w:hint="eastAsia" w:ascii="仿宋" w:hAnsi="仿宋" w:eastAsia="仿宋" w:cs="仿宋"/>
          <w:b w:val="0"/>
          <w:spacing w:val="0"/>
          <w:kern w:val="2"/>
          <w:sz w:val="32"/>
          <w:szCs w:val="32"/>
          <w:lang w:val="en-US" w:eastAsia="zh-CN" w:bidi="ar-SA"/>
        </w:rPr>
        <w:t>（6）硫回收装置产污环节</w:t>
      </w:r>
    </w:p>
    <w:tbl>
      <w:tblPr>
        <w:tblStyle w:val="21"/>
        <w:tblpPr w:leftFromText="180" w:rightFromText="180" w:vertAnchor="text" w:horzAnchor="page" w:tblpX="1696" w:tblpY="656"/>
        <w:tblOverlap w:val="never"/>
        <w:tblW w:w="882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4"/>
        <w:gridCol w:w="2531"/>
        <w:gridCol w:w="2048"/>
        <w:gridCol w:w="3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硫回收焚烧尾气</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SO2</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经双碱法脱硫后30m高排气筒排放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酸性气体洗涤废水</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甲醇、硫化物</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进终端水处理装置处理后排放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硫回收废催化剂</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Al2O3、TiO2</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lang w:val="en-US" w:eastAsia="zh-CN"/>
              </w:rPr>
              <w:t>有资质危废单位处置</w:t>
            </w:r>
          </w:p>
        </w:tc>
      </w:tr>
    </w:tbl>
    <w:p>
      <w:pPr>
        <w:pStyle w:val="12"/>
        <w:spacing w:line="520" w:lineRule="exact"/>
        <w:rPr>
          <w:rFonts w:hint="eastAsia" w:ascii="微软雅黑" w:hAnsi="微软雅黑" w:eastAsia="微软雅黑" w:cs="微软雅黑"/>
          <w:sz w:val="22"/>
          <w:szCs w:val="22"/>
          <w:lang w:val="en-US" w:eastAsia="zh-CN"/>
        </w:rPr>
      </w:pPr>
    </w:p>
    <w:p>
      <w:pPr>
        <w:pStyle w:val="12"/>
        <w:spacing w:line="520" w:lineRule="exact"/>
        <w:rPr>
          <w:rFonts w:hint="eastAsia" w:ascii="微软雅黑" w:hAnsi="微软雅黑" w:eastAsia="微软雅黑" w:cs="微软雅黑"/>
          <w:sz w:val="22"/>
          <w:szCs w:val="22"/>
          <w:lang w:val="en-US" w:eastAsia="zh-CN"/>
        </w:rPr>
      </w:pPr>
    </w:p>
    <w:p>
      <w:pPr>
        <w:pStyle w:val="12"/>
        <w:spacing w:line="520" w:lineRule="exact"/>
        <w:rPr>
          <w:rFonts w:hint="eastAsia" w:ascii="微软雅黑" w:hAnsi="微软雅黑" w:eastAsia="微软雅黑" w:cs="微软雅黑"/>
          <w:sz w:val="22"/>
          <w:szCs w:val="22"/>
          <w:lang w:val="en-US" w:eastAsia="zh-CN"/>
        </w:rPr>
      </w:pPr>
    </w:p>
    <w:p>
      <w:pPr>
        <w:pStyle w:val="12"/>
        <w:spacing w:line="520" w:lineRule="exact"/>
        <w:rPr>
          <w:rFonts w:hint="eastAsia" w:ascii="仿宋" w:hAnsi="仿宋" w:eastAsia="仿宋" w:cs="仿宋"/>
          <w:sz w:val="32"/>
          <w:szCs w:val="32"/>
          <w:lang w:val="en-US" w:eastAsia="zh-CN"/>
        </w:rPr>
      </w:pPr>
    </w:p>
    <w:p>
      <w:pPr>
        <w:pStyle w:val="12"/>
        <w:spacing w:line="520" w:lineRule="exact"/>
        <w:rPr>
          <w:rFonts w:hint="eastAsia" w:ascii="仿宋" w:hAnsi="仿宋" w:eastAsia="仿宋" w:cs="仿宋"/>
          <w:sz w:val="32"/>
          <w:szCs w:val="32"/>
          <w:lang w:val="en-US" w:eastAsia="zh-CN"/>
        </w:rPr>
      </w:pPr>
    </w:p>
    <w:p>
      <w:pPr>
        <w:pStyle w:val="12"/>
        <w:spacing w:line="52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3.2 环保措施及设施</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color w:val="000000"/>
          <w:sz w:val="32"/>
          <w:szCs w:val="32"/>
          <w:lang w:val="en-US" w:eastAsia="zh-CN"/>
        </w:rPr>
        <w:t>根据环境影响评价报告及省环保厅的批复文件，严格按照国家标准和规范及设计要求进行建设。安阳盈德气体有限公司与主体工程同时建设了粉尘净化及高空排放系统、硫回收系统、火炬系统、备煤系统、废水生化处理系统、事故水池、降噪设施等环境污染防治措施。防治设施如下：</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 废气处理设施一览表</w:t>
      </w:r>
    </w:p>
    <w:tbl>
      <w:tblPr>
        <w:tblStyle w:val="21"/>
        <w:tblpPr w:leftFromText="180" w:rightFromText="180" w:vertAnchor="text" w:horzAnchor="page" w:tblpXSpec="center" w:tblpY="592"/>
        <w:tblOverlap w:val="never"/>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28" w:type="dxa"/>
          <w:bottom w:w="0" w:type="dxa"/>
          <w:right w:w="28" w:type="dxa"/>
        </w:tblCellMar>
      </w:tblPr>
      <w:tblGrid>
        <w:gridCol w:w="1343"/>
        <w:gridCol w:w="2309"/>
        <w:gridCol w:w="2452"/>
        <w:gridCol w:w="2353"/>
        <w:gridCol w:w="145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27" w:hRule="atLeast"/>
          <w:jc w:val="center"/>
        </w:trPr>
        <w:tc>
          <w:tcPr>
            <w:tcW w:w="677" w:type="pct"/>
            <w:tcBorders>
              <w:top w:val="single" w:color="auto" w:sz="4" w:space="0"/>
              <w:left w:val="single" w:color="000000" w:sz="6"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主要装置</w:t>
            </w: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项目</w:t>
            </w:r>
          </w:p>
        </w:tc>
        <w:tc>
          <w:tcPr>
            <w:tcW w:w="1236" w:type="pct"/>
            <w:tcBorders>
              <w:top w:val="single" w:color="auto" w:sz="4"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环保设计要求</w:t>
            </w:r>
          </w:p>
        </w:tc>
        <w:tc>
          <w:tcPr>
            <w:tcW w:w="1186" w:type="pct"/>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实际建设情况</w:t>
            </w:r>
          </w:p>
        </w:tc>
        <w:tc>
          <w:tcPr>
            <w:tcW w:w="735" w:type="pct"/>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运行情况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restart"/>
            <w:tcBorders>
              <w:top w:val="single" w:color="auto" w:sz="4"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气化</w:t>
            </w: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煤浆制备工段煤粉尘</w:t>
            </w:r>
          </w:p>
        </w:tc>
        <w:tc>
          <w:tcPr>
            <w:tcW w:w="1236"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袋式除尘器，设计50米高空排放</w:t>
            </w:r>
          </w:p>
        </w:tc>
        <w:tc>
          <w:tcPr>
            <w:tcW w:w="1186" w:type="pct"/>
            <w:tcBorders>
              <w:top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rPr>
            </w:pPr>
            <w:r>
              <w:rPr>
                <w:rFonts w:hint="eastAsia" w:ascii="宋体" w:hAnsi="宋体" w:eastAsia="宋体" w:cs="宋体"/>
                <w:sz w:val="21"/>
                <w:szCs w:val="21"/>
              </w:rPr>
              <w:t>已完成，54米高空排放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945" w:hRule="atLeast"/>
          <w:jc w:val="center"/>
        </w:trPr>
        <w:tc>
          <w:tcPr>
            <w:tcW w:w="677" w:type="pct"/>
            <w:vMerge w:val="continue"/>
            <w:tcBorders>
              <w:top w:val="single" w:color="000000" w:sz="6"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真空泵分离器出口尾气</w:t>
            </w:r>
          </w:p>
        </w:tc>
        <w:tc>
          <w:tcPr>
            <w:tcW w:w="1236"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25m高排气筒排放放空</w:t>
            </w:r>
          </w:p>
          <w:p>
            <w:pPr>
              <w:spacing w:line="300" w:lineRule="exact"/>
              <w:rPr>
                <w:rFonts w:hint="eastAsia" w:ascii="宋体" w:hAnsi="宋体" w:eastAsia="宋体" w:cs="宋体"/>
                <w:sz w:val="21"/>
                <w:szCs w:val="21"/>
              </w:rPr>
            </w:pPr>
            <w:r>
              <w:rPr>
                <w:rFonts w:hint="eastAsia" w:ascii="宋体" w:hAnsi="宋体" w:eastAsia="宋体" w:cs="宋体"/>
                <w:sz w:val="21"/>
                <w:szCs w:val="21"/>
              </w:rPr>
              <w:t>黑水处理两级真空闪蒸器</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已完成，27米高空排放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55" w:hRule="atLeast"/>
          <w:jc w:val="center"/>
        </w:trPr>
        <w:tc>
          <w:tcPr>
            <w:tcW w:w="677" w:type="pct"/>
            <w:tcBorders>
              <w:top w:val="single" w:color="auto" w:sz="4"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低压闪蒸气</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restart"/>
            <w:tcBorders>
              <w:top w:val="single" w:color="auto" w:sz="4"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净化装置</w:t>
            </w: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富含硫尾气</w:t>
            </w:r>
          </w:p>
        </w:tc>
        <w:tc>
          <w:tcPr>
            <w:tcW w:w="1236"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超优克劳斯硫回收</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已完成，超优克劳斯硫回收</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95"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硫回收焚烧尾气</w:t>
            </w:r>
          </w:p>
        </w:tc>
        <w:tc>
          <w:tcPr>
            <w:tcW w:w="1236" w:type="pct"/>
            <w:tcBorders>
              <w:top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超优克劳斯硫回收尾气焚烧后，再经双减法脱硫后由30米高排气筒排放</w:t>
            </w:r>
          </w:p>
        </w:tc>
        <w:tc>
          <w:tcPr>
            <w:tcW w:w="1186" w:type="pct"/>
            <w:tcBorders>
              <w:top w:val="single" w:color="auto" w:sz="4" w:space="0"/>
              <w:right w:val="single" w:color="auto" w:sz="4" w:space="0"/>
            </w:tcBorders>
            <w:vAlign w:val="center"/>
          </w:tcPr>
          <w:p>
            <w:pPr>
              <w:spacing w:line="300" w:lineRule="exact"/>
              <w:rPr>
                <w:rFonts w:hint="default" w:ascii="宋体" w:hAnsi="宋体" w:eastAsia="宋体" w:cs="宋体"/>
                <w:sz w:val="21"/>
                <w:szCs w:val="21"/>
                <w:lang w:val="en-US" w:eastAsia="zh-CN"/>
              </w:rPr>
            </w:pPr>
            <w:r>
              <w:rPr>
                <w:rFonts w:hint="eastAsia" w:ascii="宋体" w:hAnsi="宋体" w:eastAsia="宋体" w:cs="宋体"/>
                <w:sz w:val="21"/>
                <w:szCs w:val="21"/>
              </w:rPr>
              <w:t>已完成，超优克劳斯硫回收尾气焚烧后经</w:t>
            </w:r>
            <w:r>
              <w:rPr>
                <w:rFonts w:hint="eastAsia" w:ascii="宋体" w:hAnsi="宋体" w:cs="宋体"/>
                <w:sz w:val="21"/>
                <w:szCs w:val="21"/>
                <w:lang w:val="en-US" w:eastAsia="zh-CN"/>
              </w:rPr>
              <w:t>氨法脱硫处置后60米排放。</w:t>
            </w:r>
          </w:p>
        </w:tc>
        <w:tc>
          <w:tcPr>
            <w:tcW w:w="735" w:type="pct"/>
            <w:tcBorders>
              <w:top w:val="single" w:color="auto" w:sz="4" w:space="0"/>
              <w:left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低温甲醇洗再生尾气</w:t>
            </w:r>
          </w:p>
        </w:tc>
        <w:tc>
          <w:tcPr>
            <w:tcW w:w="1236"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30m高排气筒排放放空</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已完成，84米高空排放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65"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p>
        </w:tc>
        <w:tc>
          <w:tcPr>
            <w:tcW w:w="1236"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p>
        </w:tc>
        <w:tc>
          <w:tcPr>
            <w:tcW w:w="1186" w:type="pct"/>
            <w:vMerge w:val="restart"/>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r>
              <w:rPr>
                <w:rFonts w:hint="eastAsia" w:ascii="宋体" w:hAnsi="宋体" w:eastAsia="宋体" w:cs="宋体"/>
                <w:sz w:val="21"/>
                <w:szCs w:val="21"/>
              </w:rPr>
              <w:t>已完成，送火炬燃烧后60m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735" w:type="pct"/>
            <w:vMerge w:val="restart"/>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8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p>
        </w:tc>
        <w:tc>
          <w:tcPr>
            <w:tcW w:w="1236" w:type="pct"/>
            <w:vMerge w:val="restar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1186" w:type="pct"/>
            <w:vMerge w:val="continue"/>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冷凝液汽提塔尾气</w:t>
            </w:r>
          </w:p>
        </w:tc>
        <w:tc>
          <w:tcPr>
            <w:tcW w:w="1236" w:type="pct"/>
            <w:vMerge w:val="continue"/>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液氮洗解吸气</w:t>
            </w:r>
          </w:p>
        </w:tc>
        <w:tc>
          <w:tcPr>
            <w:tcW w:w="1236" w:type="pct"/>
            <w:vMerge w:val="continue"/>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jc w:val="center"/>
        </w:trPr>
        <w:tc>
          <w:tcPr>
            <w:tcW w:w="677" w:type="pct"/>
            <w:vMerge w:val="continue"/>
            <w:tcBorders>
              <w:top w:val="single" w:color="000000" w:sz="6"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非正常工况废气</w:t>
            </w:r>
          </w:p>
        </w:tc>
        <w:tc>
          <w:tcPr>
            <w:tcW w:w="1236" w:type="pct"/>
            <w:vMerge w:val="continue"/>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05" w:hRule="atLeast"/>
          <w:jc w:val="center"/>
        </w:trPr>
        <w:tc>
          <w:tcPr>
            <w:tcW w:w="677" w:type="pct"/>
            <w:vMerge w:val="restart"/>
            <w:tcBorders>
              <w:top w:val="single" w:color="auto" w:sz="4" w:space="0"/>
              <w:left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煤储运</w:t>
            </w:r>
          </w:p>
        </w:tc>
        <w:tc>
          <w:tcPr>
            <w:tcW w:w="1164"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煤贮运筒仓尾气</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袋式除尘器，40米高空排放</w:t>
            </w:r>
          </w:p>
        </w:tc>
        <w:tc>
          <w:tcPr>
            <w:tcW w:w="1186" w:type="pct"/>
            <w:tcBorders>
              <w:top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rPr>
            </w:pPr>
            <w:r>
              <w:rPr>
                <w:rFonts w:hint="eastAsia" w:ascii="宋体" w:hAnsi="宋体" w:eastAsia="宋体" w:cs="宋体"/>
                <w:sz w:val="21"/>
                <w:szCs w:val="21"/>
              </w:rPr>
              <w:t>已按照要求安装完成</w:t>
            </w:r>
          </w:p>
        </w:tc>
        <w:tc>
          <w:tcPr>
            <w:tcW w:w="735"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jc w:val="center"/>
        </w:trPr>
        <w:tc>
          <w:tcPr>
            <w:tcW w:w="677" w:type="pct"/>
            <w:vMerge w:val="continue"/>
            <w:tcBorders>
              <w:left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煤露天堆场、卸煤库、煤干燥棚</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防尘、抑尘</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cs="宋体"/>
                <w:sz w:val="21"/>
                <w:szCs w:val="21"/>
                <w:lang w:val="en-US" w:eastAsia="zh-CN"/>
              </w:rPr>
              <w:t>密闭储存场，安装有喷淋降尘</w:t>
            </w:r>
            <w:r>
              <w:rPr>
                <w:rFonts w:hint="eastAsia" w:ascii="宋体" w:hAnsi="宋体" w:eastAsia="宋体" w:cs="宋体"/>
                <w:sz w:val="21"/>
                <w:szCs w:val="21"/>
              </w:rPr>
              <w:t xml:space="preserve"> </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防尘效果明显</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（2）废水处理设施一览表</w:t>
      </w:r>
    </w:p>
    <w:tbl>
      <w:tblPr>
        <w:tblStyle w:val="21"/>
        <w:tblpPr w:leftFromText="180" w:rightFromText="180" w:vertAnchor="text" w:horzAnchor="page" w:tblpX="975" w:tblpY="186"/>
        <w:tblOverlap w:val="never"/>
        <w:tblW w:w="9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4"/>
        <w:gridCol w:w="3969"/>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sz w:val="21"/>
                <w:szCs w:val="21"/>
              </w:rPr>
            </w:pPr>
            <w:r>
              <w:rPr>
                <w:rFonts w:hint="eastAsia" w:ascii="宋体" w:hAnsi="宋体" w:eastAsia="宋体" w:cs="宋体"/>
                <w:b/>
                <w:sz w:val="21"/>
                <w:szCs w:val="21"/>
              </w:rPr>
              <w:t>环保设施</w:t>
            </w:r>
          </w:p>
        </w:tc>
        <w:tc>
          <w:tcPr>
            <w:tcW w:w="3969" w:type="dxa"/>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建设情况</w:t>
            </w:r>
          </w:p>
        </w:tc>
        <w:tc>
          <w:tcPr>
            <w:tcW w:w="2558" w:type="dxa"/>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清污分流、污污分流、雨污分流措施，污水排放口，雨水排放口。</w:t>
            </w:r>
          </w:p>
        </w:tc>
        <w:tc>
          <w:tcPr>
            <w:tcW w:w="3969"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厂区排水管线有清水、污水、雨水，实现清污分流、污污分流、雨污分流</w:t>
            </w: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各管线分流，运行正常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终端废水处理装2400m3/d，IMC+BAF；处理后达标排放COD41mg/l、氨氮3.22mg/l、氰化物0.072mg/l、硫化物0.085mg/l。</w:t>
            </w:r>
          </w:p>
        </w:tc>
        <w:tc>
          <w:tcPr>
            <w:tcW w:w="3969" w:type="dxa"/>
          </w:tcPr>
          <w:p>
            <w:pPr>
              <w:spacing w:line="300" w:lineRule="exact"/>
              <w:rPr>
                <w:rFonts w:hint="default" w:ascii="宋体" w:hAnsi="宋体" w:eastAsia="宋体" w:cs="宋体"/>
                <w:b w:val="0"/>
                <w:bCs/>
                <w:sz w:val="21"/>
                <w:szCs w:val="21"/>
                <w:lang w:val="en-US" w:eastAsia="zh-CN"/>
              </w:rPr>
            </w:pPr>
            <w:r>
              <w:rPr>
                <w:rFonts w:hint="eastAsia" w:ascii="宋体" w:hAnsi="宋体" w:eastAsia="宋体" w:cs="宋体"/>
                <w:b w:val="0"/>
                <w:bCs/>
                <w:sz w:val="21"/>
                <w:szCs w:val="21"/>
              </w:rPr>
              <w:t>在建设2400m3/d，IMC+BAF污水处理基础上</w:t>
            </w:r>
            <w:r>
              <w:rPr>
                <w:rFonts w:hint="eastAsia" w:ascii="宋体" w:hAnsi="宋体" w:cs="宋体"/>
                <w:b w:val="0"/>
                <w:bCs/>
                <w:sz w:val="21"/>
                <w:szCs w:val="21"/>
                <w:lang w:eastAsia="zh-CN"/>
              </w:rPr>
              <w:t>，</w:t>
            </w:r>
            <w:r>
              <w:rPr>
                <w:rFonts w:hint="eastAsia" w:ascii="宋体" w:hAnsi="宋体" w:cs="宋体"/>
                <w:b w:val="0"/>
                <w:bCs/>
                <w:sz w:val="21"/>
                <w:szCs w:val="21"/>
                <w:lang w:val="en-US" w:eastAsia="zh-CN"/>
              </w:rPr>
              <w:t>增加脱磷脱氮系统，去除总磷、总氮。</w:t>
            </w:r>
          </w:p>
          <w:p>
            <w:pPr>
              <w:spacing w:line="300" w:lineRule="exact"/>
              <w:rPr>
                <w:rFonts w:hint="eastAsia" w:ascii="宋体" w:hAnsi="宋体" w:eastAsia="宋体" w:cs="宋体"/>
                <w:b w:val="0"/>
                <w:bCs/>
                <w:sz w:val="21"/>
                <w:szCs w:val="21"/>
              </w:rPr>
            </w:pP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运行正常运行正常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全厂设置一个规范化废水排放口，安装流量和COD、氨氮在线监测装置。联网。</w:t>
            </w:r>
          </w:p>
        </w:tc>
        <w:tc>
          <w:tcPr>
            <w:tcW w:w="3969"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已按照要求将全部监测设备安装调试完毕，已与省环保厅、县环保局监控中心联网运行。</w:t>
            </w: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设备运行正常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制气、净化装置区建一个事故废水储池5000立方米。</w:t>
            </w:r>
          </w:p>
        </w:tc>
        <w:tc>
          <w:tcPr>
            <w:tcW w:w="3969"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已建设完成并投用（安阳盈德气体有限公司）</w:t>
            </w:r>
          </w:p>
        </w:tc>
        <w:tc>
          <w:tcPr>
            <w:tcW w:w="2558"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未发生环保事故，设计能满足要。</w:t>
            </w:r>
          </w:p>
        </w:tc>
      </w:tr>
    </w:tbl>
    <w:p>
      <w:pPr>
        <w:pStyle w:val="11"/>
        <w:rPr>
          <w:rFonts w:hint="default"/>
          <w:lang w:val="en-US" w:eastAsia="zh-CN"/>
        </w:rPr>
      </w:pPr>
    </w:p>
    <w:tbl>
      <w:tblPr>
        <w:tblStyle w:val="21"/>
        <w:tblpPr w:leftFromText="180" w:rightFromText="180" w:vertAnchor="text" w:horzAnchor="page" w:tblpX="936" w:tblpY="937"/>
        <w:tblOverlap w:val="never"/>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8"/>
        <w:gridCol w:w="3685"/>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环保设施</w:t>
            </w:r>
          </w:p>
        </w:tc>
        <w:tc>
          <w:tcPr>
            <w:tcW w:w="368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建设情况</w:t>
            </w:r>
          </w:p>
        </w:tc>
        <w:tc>
          <w:tcPr>
            <w:tcW w:w="294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废催化剂等危险废物的三防储存场所</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cs="宋体"/>
                <w:b w:val="0"/>
                <w:bCs/>
                <w:sz w:val="21"/>
                <w:szCs w:val="21"/>
                <w:lang w:val="en-US" w:eastAsia="zh-CN"/>
              </w:rPr>
              <w:t>建设一座规范的危废储存场所，</w:t>
            </w:r>
            <w:r>
              <w:rPr>
                <w:rFonts w:hint="eastAsia" w:ascii="宋体" w:hAnsi="宋体" w:eastAsia="宋体" w:cs="宋体"/>
                <w:b w:val="0"/>
                <w:bCs/>
                <w:sz w:val="21"/>
                <w:szCs w:val="21"/>
              </w:rPr>
              <w:t>废催化剂由厂家直接回收，已签定回收协议</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正常使用中，催化剂未到使用期限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污水处理污泥</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安阳盈德气体有限公司建设一个污泥临时处置场所，污泥运至中盈化肥煤储运掺入煤中送至气化炉焚烧。</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已开始执行，并制订了污泥处置管理规定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气化炉渣</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建设一座具备三防功能的灰渣储存仓库，灰渣外售做建材</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已签订煤渣外售合同销售</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（3）危废/固体废物设施一览表</w:t>
      </w:r>
    </w:p>
    <w:p>
      <w:pPr>
        <w:pStyle w:val="15"/>
        <w:pBdr>
          <w:left w:val="none" w:color="auto" w:sz="0" w:space="0"/>
        </w:pBdr>
        <w:jc w:val="left"/>
        <w:rPr>
          <w:rFonts w:hint="eastAsia" w:ascii="仿宋" w:hAnsi="仿宋" w:eastAsia="仿宋" w:cs="仿宋"/>
          <w:sz w:val="32"/>
          <w:szCs w:val="32"/>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（4）噪声防治措施</w:t>
      </w:r>
    </w:p>
    <w:tbl>
      <w:tblPr>
        <w:tblStyle w:val="21"/>
        <w:tblpPr w:leftFromText="180" w:rightFromText="180" w:vertAnchor="text" w:horzAnchor="page" w:tblpX="1289" w:tblpY="404"/>
        <w:tblOverlap w:val="never"/>
        <w:tblW w:w="9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68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环保设施</w:t>
            </w:r>
          </w:p>
        </w:tc>
        <w:tc>
          <w:tcPr>
            <w:tcW w:w="368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建设情况</w:t>
            </w:r>
          </w:p>
        </w:tc>
        <w:tc>
          <w:tcPr>
            <w:tcW w:w="31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816"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隔声降噪</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厂房已安装隔声板，设备基座防震。</w:t>
            </w:r>
          </w:p>
        </w:tc>
        <w:tc>
          <w:tcPr>
            <w:tcW w:w="3181"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厂区对外噪声影响在环保要求控制范围之内，降噪明显</w:t>
            </w:r>
          </w:p>
        </w:tc>
      </w:tr>
    </w:tbl>
    <w:p>
      <w:pPr>
        <w:pStyle w:val="8"/>
        <w:rPr>
          <w:rFonts w:hint="eastAsia" w:ascii="仿宋" w:hAnsi="仿宋" w:eastAsia="仿宋" w:cs="仿宋"/>
          <w:sz w:val="32"/>
          <w:szCs w:val="32"/>
          <w:lang w:val="en-US" w:eastAsia="zh-CN"/>
        </w:rPr>
      </w:pPr>
    </w:p>
    <w:p>
      <w:pPr>
        <w:pStyle w:val="9"/>
        <w:rPr>
          <w:rFonts w:hint="eastAsia" w:ascii="仿宋" w:hAnsi="仿宋" w:eastAsia="仿宋" w:cs="仿宋"/>
          <w:sz w:val="32"/>
          <w:szCs w:val="32"/>
          <w:lang w:val="en-US" w:eastAsia="zh-CN"/>
        </w:rPr>
      </w:pPr>
    </w:p>
    <w:p>
      <w:pPr>
        <w:pStyle w:val="10"/>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pStyle w:val="3"/>
        <w:bidi w:val="0"/>
        <w:rPr>
          <w:rFonts w:hint="eastAsia" w:ascii="仿宋" w:hAnsi="仿宋" w:eastAsia="仿宋" w:cs="仿宋"/>
          <w:sz w:val="32"/>
          <w:szCs w:val="32"/>
          <w:lang w:val="en-US" w:eastAsia="zh-CN"/>
        </w:rPr>
      </w:pPr>
      <w:bookmarkStart w:id="12" w:name="_Toc6531"/>
      <w:r>
        <w:rPr>
          <w:rFonts w:hint="eastAsia" w:ascii="仿宋" w:hAnsi="仿宋" w:eastAsia="仿宋" w:cs="仿宋"/>
          <w:sz w:val="32"/>
          <w:szCs w:val="32"/>
          <w:lang w:val="en-US" w:eastAsia="zh-CN"/>
        </w:rPr>
        <w:t>4 自行监测及结果分析</w:t>
      </w:r>
      <w:bookmarkEnd w:id="12"/>
    </w:p>
    <w:p>
      <w:pPr>
        <w:pStyle w:val="4"/>
        <w:bidi w:val="0"/>
        <w:rPr>
          <w:rFonts w:hint="eastAsia" w:ascii="仿宋" w:hAnsi="仿宋" w:eastAsia="仿宋" w:cs="仿宋"/>
          <w:sz w:val="32"/>
          <w:szCs w:val="32"/>
          <w:lang w:val="en-US" w:eastAsia="zh-CN"/>
        </w:rPr>
      </w:pPr>
      <w:bookmarkStart w:id="13" w:name="_Toc9075"/>
      <w:r>
        <w:rPr>
          <w:rFonts w:hint="eastAsia" w:ascii="仿宋" w:hAnsi="仿宋" w:eastAsia="仿宋" w:cs="仿宋"/>
          <w:sz w:val="32"/>
          <w:szCs w:val="32"/>
          <w:lang w:val="en-US" w:eastAsia="zh-CN"/>
        </w:rPr>
        <w:t>4.1 2020年第一季度自行监测</w:t>
      </w:r>
      <w:bookmarkEnd w:id="13"/>
      <w:r>
        <w:rPr>
          <w:rFonts w:hint="eastAsia" w:ascii="仿宋" w:hAnsi="仿宋" w:eastAsia="仿宋" w:cs="仿宋"/>
          <w:sz w:val="32"/>
          <w:szCs w:val="32"/>
          <w:lang w:val="en-US" w:eastAsia="zh-CN"/>
        </w:rPr>
        <w:t>报告</w:t>
      </w:r>
    </w:p>
    <w:p>
      <w:pPr>
        <w:rPr>
          <w:rFonts w:hint="default"/>
          <w:lang w:val="en-US" w:eastAsia="zh-CN"/>
        </w:rPr>
      </w:pPr>
      <w:r>
        <w:rPr>
          <w:rFonts w:hint="default"/>
          <w:lang w:val="en-US" w:eastAsia="zh-CN"/>
        </w:rPr>
        <w:drawing>
          <wp:inline distT="0" distB="0" distL="114300" distR="114300">
            <wp:extent cx="5829300" cy="7229475"/>
            <wp:effectExtent l="0" t="0" r="0" b="9525"/>
            <wp:docPr id="1" name="图片 1" descr="1593313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3313927(1)"/>
                    <pic:cNvPicPr>
                      <a:picLocks noChangeAspect="1"/>
                    </pic:cNvPicPr>
                  </pic:nvPicPr>
                  <pic:blipFill>
                    <a:blip r:embed="rId11"/>
                    <a:stretch>
                      <a:fillRect/>
                    </a:stretch>
                  </pic:blipFill>
                  <pic:spPr>
                    <a:xfrm>
                      <a:off x="0" y="0"/>
                      <a:ext cx="5829300" cy="722947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5876925" cy="8039100"/>
            <wp:effectExtent l="0" t="0" r="9525" b="0"/>
            <wp:docPr id="2" name="图片 2" descr="1593313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3313944(1)"/>
                    <pic:cNvPicPr>
                      <a:picLocks noChangeAspect="1"/>
                    </pic:cNvPicPr>
                  </pic:nvPicPr>
                  <pic:blipFill>
                    <a:blip r:embed="rId12"/>
                    <a:stretch>
                      <a:fillRect/>
                    </a:stretch>
                  </pic:blipFill>
                  <pic:spPr>
                    <a:xfrm>
                      <a:off x="0" y="0"/>
                      <a:ext cx="5876925" cy="803910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pPr>
      <w:r>
        <w:drawing>
          <wp:inline distT="0" distB="0" distL="114300" distR="114300">
            <wp:extent cx="5838825" cy="80962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838825" cy="8096250"/>
                    </a:xfrm>
                    <a:prstGeom prst="rect">
                      <a:avLst/>
                    </a:prstGeom>
                    <a:noFill/>
                    <a:ln>
                      <a:noFill/>
                    </a:ln>
                  </pic:spPr>
                </pic:pic>
              </a:graphicData>
            </a:graphic>
          </wp:inline>
        </w:drawing>
      </w:r>
    </w:p>
    <w:p>
      <w:pPr>
        <w:pStyle w:val="2"/>
      </w:pPr>
    </w:p>
    <w:p>
      <w:pPr>
        <w:pStyle w:val="2"/>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19775" cy="8048625"/>
            <wp:effectExtent l="0" t="0" r="9525" b="9525"/>
            <wp:docPr id="6" name="图片 6" descr="1593314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3314631(1)"/>
                    <pic:cNvPicPr>
                      <a:picLocks noChangeAspect="1"/>
                    </pic:cNvPicPr>
                  </pic:nvPicPr>
                  <pic:blipFill>
                    <a:blip r:embed="rId14"/>
                    <a:stretch>
                      <a:fillRect/>
                    </a:stretch>
                  </pic:blipFill>
                  <pic:spPr>
                    <a:xfrm>
                      <a:off x="0" y="0"/>
                      <a:ext cx="5819775" cy="8048625"/>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29300" cy="8162925"/>
            <wp:effectExtent l="0" t="0" r="0" b="9525"/>
            <wp:docPr id="8" name="图片 8" descr="1593314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3314649(1)"/>
                    <pic:cNvPicPr>
                      <a:picLocks noChangeAspect="1"/>
                    </pic:cNvPicPr>
                  </pic:nvPicPr>
                  <pic:blipFill>
                    <a:blip r:embed="rId15"/>
                    <a:stretch>
                      <a:fillRect/>
                    </a:stretch>
                  </pic:blipFill>
                  <pic:spPr>
                    <a:xfrm>
                      <a:off x="0" y="0"/>
                      <a:ext cx="5829300" cy="8162925"/>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781675" cy="8001000"/>
            <wp:effectExtent l="0" t="0" r="9525" b="0"/>
            <wp:docPr id="10" name="图片 10" descr="1593314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3314677(1)"/>
                    <pic:cNvPicPr>
                      <a:picLocks noChangeAspect="1"/>
                    </pic:cNvPicPr>
                  </pic:nvPicPr>
                  <pic:blipFill>
                    <a:blip r:embed="rId16"/>
                    <a:stretch>
                      <a:fillRect/>
                    </a:stretch>
                  </pic:blipFill>
                  <pic:spPr>
                    <a:xfrm>
                      <a:off x="0" y="0"/>
                      <a:ext cx="5781675" cy="8001000"/>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10250" cy="8153400"/>
            <wp:effectExtent l="0" t="0" r="0" b="0"/>
            <wp:docPr id="11" name="图片 11" descr="1593314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93314698(1)"/>
                    <pic:cNvPicPr>
                      <a:picLocks noChangeAspect="1"/>
                    </pic:cNvPicPr>
                  </pic:nvPicPr>
                  <pic:blipFill>
                    <a:blip r:embed="rId17"/>
                    <a:stretch>
                      <a:fillRect/>
                    </a:stretch>
                  </pic:blipFill>
                  <pic:spPr>
                    <a:xfrm>
                      <a:off x="0" y="0"/>
                      <a:ext cx="5810250" cy="8153400"/>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29300" cy="7962900"/>
            <wp:effectExtent l="0" t="0" r="0" b="0"/>
            <wp:docPr id="12" name="图片 12" descr="1593315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3315217(1)"/>
                    <pic:cNvPicPr>
                      <a:picLocks noChangeAspect="1"/>
                    </pic:cNvPicPr>
                  </pic:nvPicPr>
                  <pic:blipFill>
                    <a:blip r:embed="rId18"/>
                    <a:stretch>
                      <a:fillRect/>
                    </a:stretch>
                  </pic:blipFill>
                  <pic:spPr>
                    <a:xfrm>
                      <a:off x="0" y="0"/>
                      <a:ext cx="5829300" cy="7962900"/>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76925" cy="8172450"/>
            <wp:effectExtent l="0" t="0" r="9525" b="0"/>
            <wp:docPr id="13" name="图片 13" descr="1593315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93315239(1)"/>
                    <pic:cNvPicPr>
                      <a:picLocks noChangeAspect="1"/>
                    </pic:cNvPicPr>
                  </pic:nvPicPr>
                  <pic:blipFill>
                    <a:blip r:embed="rId19"/>
                    <a:stretch>
                      <a:fillRect/>
                    </a:stretch>
                  </pic:blipFill>
                  <pic:spPr>
                    <a:xfrm>
                      <a:off x="0" y="0"/>
                      <a:ext cx="5876925" cy="8172450"/>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29300" cy="8067675"/>
            <wp:effectExtent l="0" t="0" r="0" b="9525"/>
            <wp:docPr id="14" name="图片 14" descr="1593315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3315290(1)"/>
                    <pic:cNvPicPr>
                      <a:picLocks noChangeAspect="1"/>
                    </pic:cNvPicPr>
                  </pic:nvPicPr>
                  <pic:blipFill>
                    <a:blip r:embed="rId20"/>
                    <a:stretch>
                      <a:fillRect/>
                    </a:stretch>
                  </pic:blipFill>
                  <pic:spPr>
                    <a:xfrm>
                      <a:off x="0" y="0"/>
                      <a:ext cx="5829300" cy="8067675"/>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19775" cy="8039100"/>
            <wp:effectExtent l="0" t="0" r="9525" b="0"/>
            <wp:docPr id="15" name="图片 15" descr="1593315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93315307(1)"/>
                    <pic:cNvPicPr>
                      <a:picLocks noChangeAspect="1"/>
                    </pic:cNvPicPr>
                  </pic:nvPicPr>
                  <pic:blipFill>
                    <a:blip r:embed="rId21"/>
                    <a:stretch>
                      <a:fillRect/>
                    </a:stretch>
                  </pic:blipFill>
                  <pic:spPr>
                    <a:xfrm>
                      <a:off x="0" y="0"/>
                      <a:ext cx="5819775" cy="8039100"/>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57875" cy="8115300"/>
            <wp:effectExtent l="0" t="0" r="9525" b="0"/>
            <wp:docPr id="16" name="图片 16" descr="1593315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3315336(1)"/>
                    <pic:cNvPicPr>
                      <a:picLocks noChangeAspect="1"/>
                    </pic:cNvPicPr>
                  </pic:nvPicPr>
                  <pic:blipFill>
                    <a:blip r:embed="rId22"/>
                    <a:stretch>
                      <a:fillRect/>
                    </a:stretch>
                  </pic:blipFill>
                  <pic:spPr>
                    <a:xfrm>
                      <a:off x="0" y="0"/>
                      <a:ext cx="5857875" cy="8115300"/>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38825" cy="8048625"/>
            <wp:effectExtent l="0" t="0" r="9525" b="9525"/>
            <wp:docPr id="17" name="图片 17" descr="1593315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3315357(1)"/>
                    <pic:cNvPicPr>
                      <a:picLocks noChangeAspect="1"/>
                    </pic:cNvPicPr>
                  </pic:nvPicPr>
                  <pic:blipFill>
                    <a:blip r:embed="rId23"/>
                    <a:stretch>
                      <a:fillRect/>
                    </a:stretch>
                  </pic:blipFill>
                  <pic:spPr>
                    <a:xfrm>
                      <a:off x="0" y="0"/>
                      <a:ext cx="5838825" cy="8048625"/>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29300" cy="8162925"/>
            <wp:effectExtent l="0" t="0" r="0" b="9525"/>
            <wp:docPr id="18" name="图片 18" descr="1593315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93315377(1)"/>
                    <pic:cNvPicPr>
                      <a:picLocks noChangeAspect="1"/>
                    </pic:cNvPicPr>
                  </pic:nvPicPr>
                  <pic:blipFill>
                    <a:blip r:embed="rId24"/>
                    <a:stretch>
                      <a:fillRect/>
                    </a:stretch>
                  </pic:blipFill>
                  <pic:spPr>
                    <a:xfrm>
                      <a:off x="0" y="0"/>
                      <a:ext cx="5829300" cy="8162925"/>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48350" cy="7962900"/>
            <wp:effectExtent l="0" t="0" r="0" b="0"/>
            <wp:docPr id="19" name="图片 19" descr="159331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93315402(1)"/>
                    <pic:cNvPicPr>
                      <a:picLocks noChangeAspect="1"/>
                    </pic:cNvPicPr>
                  </pic:nvPicPr>
                  <pic:blipFill>
                    <a:blip r:embed="rId25"/>
                    <a:stretch>
                      <a:fillRect/>
                    </a:stretch>
                  </pic:blipFill>
                  <pic:spPr>
                    <a:xfrm>
                      <a:off x="0" y="0"/>
                      <a:ext cx="5848350" cy="7962900"/>
                    </a:xfrm>
                    <a:prstGeom prst="rect">
                      <a:avLst/>
                    </a:prstGeom>
                  </pic:spPr>
                </pic:pic>
              </a:graphicData>
            </a:graphic>
          </wp:inline>
        </w:drawing>
      </w:r>
    </w:p>
    <w:p>
      <w:pPr>
        <w:pStyle w:val="2"/>
        <w:rPr>
          <w:rFonts w:hint="eastAsia" w:eastAsiaTheme="minorEastAsia"/>
          <w:lang w:val="en-US" w:eastAsia="zh-CN"/>
        </w:rPr>
      </w:pPr>
    </w:p>
    <w:p>
      <w:pPr>
        <w:pStyle w:val="2"/>
        <w:rPr>
          <w:rFonts w:hint="eastAsia" w:eastAsiaTheme="minorEastAsia"/>
          <w:lang w:val="en-US" w:eastAsia="zh-CN"/>
        </w:rPr>
      </w:pPr>
    </w:p>
    <w:p>
      <w:pPr>
        <w:pStyle w:val="2"/>
        <w:rPr>
          <w:rFonts w:hint="eastAsia" w:eastAsiaTheme="minorEastAsia"/>
          <w:lang w:val="en-US" w:eastAsia="zh-CN"/>
        </w:rPr>
      </w:pPr>
      <w:r>
        <w:rPr>
          <w:rFonts w:hint="eastAsia" w:eastAsiaTheme="minorEastAsia"/>
          <w:lang w:val="en-US" w:eastAsia="zh-CN"/>
        </w:rPr>
        <w:drawing>
          <wp:inline distT="0" distB="0" distL="114300" distR="114300">
            <wp:extent cx="5829300" cy="8162925"/>
            <wp:effectExtent l="0" t="0" r="0" b="9525"/>
            <wp:docPr id="20" name="图片 20" descr="159331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93315429(1)"/>
                    <pic:cNvPicPr>
                      <a:picLocks noChangeAspect="1"/>
                    </pic:cNvPicPr>
                  </pic:nvPicPr>
                  <pic:blipFill>
                    <a:blip r:embed="rId26"/>
                    <a:stretch>
                      <a:fillRect/>
                    </a:stretch>
                  </pic:blipFill>
                  <pic:spPr>
                    <a:xfrm>
                      <a:off x="0" y="0"/>
                      <a:ext cx="5829300" cy="8162925"/>
                    </a:xfrm>
                    <a:prstGeom prst="rect">
                      <a:avLst/>
                    </a:prstGeom>
                  </pic:spPr>
                </pic:pic>
              </a:graphicData>
            </a:graphic>
          </wp:inline>
        </w:drawing>
      </w:r>
    </w:p>
    <w:p>
      <w:pPr>
        <w:pStyle w:val="3"/>
        <w:bidi w:val="0"/>
        <w:rPr>
          <w:rFonts w:hint="eastAsia" w:ascii="Times New Roman" w:hAnsi="Times New Roman" w:cs="Times New Roman"/>
          <w:szCs w:val="22"/>
          <w:lang w:val="en-US" w:eastAsia="zh-CN"/>
        </w:rPr>
      </w:pPr>
      <w:bookmarkStart w:id="14" w:name="_Toc24511"/>
      <w:bookmarkStart w:id="15" w:name="_Toc17134"/>
      <w:r>
        <w:rPr>
          <w:rFonts w:hint="eastAsia" w:ascii="Times New Roman" w:hAnsi="Times New Roman" w:cs="Times New Roman"/>
          <w:szCs w:val="22"/>
          <w:lang w:val="en-US" w:eastAsia="zh-CN"/>
        </w:rPr>
        <w:t>5 污染物排放情况</w:t>
      </w:r>
      <w:bookmarkEnd w:id="14"/>
      <w:bookmarkEnd w:id="15"/>
    </w:p>
    <w:p>
      <w:pPr>
        <w:pStyle w:val="4"/>
        <w:bidi w:val="0"/>
        <w:rPr>
          <w:rFonts w:hint="eastAsia" w:ascii="仿宋" w:hAnsi="仿宋" w:eastAsia="仿宋" w:cs="仿宋"/>
          <w:sz w:val="32"/>
          <w:szCs w:val="32"/>
          <w:lang w:val="en-US" w:eastAsia="zh-CN"/>
        </w:rPr>
      </w:pPr>
      <w:bookmarkStart w:id="16" w:name="_Toc17646"/>
      <w:bookmarkStart w:id="17" w:name="_Toc23690"/>
      <w:r>
        <w:rPr>
          <w:rFonts w:hint="eastAsia" w:ascii="仿宋" w:hAnsi="仿宋" w:eastAsia="仿宋" w:cs="仿宋"/>
          <w:sz w:val="32"/>
          <w:szCs w:val="32"/>
          <w:lang w:val="en-US" w:eastAsia="zh-CN"/>
        </w:rPr>
        <w:t>5.1 废水</w:t>
      </w:r>
      <w:bookmarkEnd w:id="16"/>
      <w:bookmarkEnd w:id="17"/>
    </w:p>
    <w:p>
      <w:pPr>
        <w:pStyle w:val="8"/>
        <w:keepNext w:val="0"/>
        <w:keepLines w:val="0"/>
        <w:pageBreakBefore w:val="0"/>
        <w:kinsoku/>
        <w:wordWrap/>
        <w:overflowPunct/>
        <w:topLinePunct w:val="0"/>
        <w:autoSpaceDE/>
        <w:autoSpaceDN/>
        <w:bidi w:val="0"/>
        <w:adjustRightInd/>
        <w:snapToGrid/>
        <w:spacing w:after="0" w:afterLines="0" w:line="360" w:lineRule="auto"/>
        <w:ind w:right="0" w:rightChars="0"/>
        <w:textAlignment w:val="auto"/>
        <w:outlineLvl w:val="1"/>
        <w:rPr>
          <w:rFonts w:hint="eastAsia" w:ascii="仿宋" w:hAnsi="仿宋" w:eastAsia="仿宋" w:cs="仿宋"/>
          <w:kern w:val="2"/>
          <w:sz w:val="32"/>
          <w:szCs w:val="32"/>
          <w:lang w:val="en-US" w:eastAsia="zh-CN" w:bidi="ar-SA"/>
        </w:rPr>
      </w:pPr>
      <w:bookmarkStart w:id="18" w:name="_Toc10634"/>
      <w:bookmarkStart w:id="19" w:name="_Toc1485"/>
      <w:r>
        <w:rPr>
          <w:rFonts w:hint="eastAsia" w:ascii="仿宋" w:hAnsi="仿宋" w:eastAsia="仿宋" w:cs="仿宋"/>
          <w:kern w:val="2"/>
          <w:sz w:val="32"/>
          <w:szCs w:val="32"/>
          <w:lang w:val="en-US" w:eastAsia="zh-CN" w:bidi="ar-SA"/>
        </w:rPr>
        <w:t>依据废气在线监测及第三方季度监测报告提供的数据，2020年第1季度年废水特征污染物及排放量如下：</w:t>
      </w:r>
      <w:bookmarkEnd w:id="18"/>
    </w:p>
    <w:tbl>
      <w:tblPr>
        <w:tblStyle w:val="21"/>
        <w:tblW w:w="4991" w:type="pct"/>
        <w:tblInd w:w="0" w:type="dxa"/>
        <w:shd w:val="clear" w:color="auto" w:fill="auto"/>
        <w:tblLayout w:type="autofit"/>
        <w:tblCellMar>
          <w:top w:w="0" w:type="dxa"/>
          <w:left w:w="0" w:type="dxa"/>
          <w:bottom w:w="0" w:type="dxa"/>
          <w:right w:w="0" w:type="dxa"/>
        </w:tblCellMar>
      </w:tblPr>
      <w:tblGrid>
        <w:gridCol w:w="1135"/>
        <w:gridCol w:w="1017"/>
        <w:gridCol w:w="1216"/>
        <w:gridCol w:w="2514"/>
        <w:gridCol w:w="1997"/>
        <w:gridCol w:w="1997"/>
      </w:tblGrid>
      <w:tr>
        <w:tblPrEx>
          <w:shd w:val="clear" w:color="auto" w:fill="auto"/>
          <w:tblCellMar>
            <w:top w:w="0" w:type="dxa"/>
            <w:left w:w="0" w:type="dxa"/>
            <w:bottom w:w="0" w:type="dxa"/>
            <w:right w:w="0" w:type="dxa"/>
          </w:tblCellMar>
        </w:tblPrEx>
        <w:trPr>
          <w:trHeight w:val="634"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排放口名称</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类别</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污染物名称</w:t>
            </w:r>
          </w:p>
        </w:tc>
        <w:tc>
          <w:tcPr>
            <w:tcW w:w="12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w:t>
            </w:r>
            <w:r>
              <w:rPr>
                <w:rFonts w:hint="eastAsia" w:ascii="宋体" w:hAnsi="宋体" w:cs="宋体"/>
                <w:b/>
                <w:i w:val="0"/>
                <w:color w:val="000000"/>
                <w:kern w:val="0"/>
                <w:sz w:val="22"/>
                <w:szCs w:val="22"/>
                <w:u w:val="none"/>
                <w:lang w:val="en-US" w:eastAsia="zh-CN" w:bidi="ar"/>
              </w:rPr>
              <w:t>监测</w:t>
            </w:r>
            <w:r>
              <w:rPr>
                <w:rFonts w:hint="eastAsia" w:ascii="宋体" w:hAnsi="宋体" w:eastAsia="宋体" w:cs="宋体"/>
                <w:b/>
                <w:i w:val="0"/>
                <w:color w:val="000000"/>
                <w:kern w:val="0"/>
                <w:sz w:val="22"/>
                <w:szCs w:val="22"/>
                <w:u w:val="none"/>
                <w:lang w:val="en-US" w:eastAsia="zh-CN" w:bidi="ar"/>
              </w:rPr>
              <w:t>方法</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污染物排放量（千克）</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废水排放量</w:t>
            </w:r>
          </w:p>
        </w:tc>
      </w:tr>
      <w:tr>
        <w:tblPrEx>
          <w:shd w:val="clear" w:color="auto" w:fill="auto"/>
          <w:tblCellMar>
            <w:top w:w="0" w:type="dxa"/>
            <w:left w:w="0" w:type="dxa"/>
            <w:bottom w:w="0" w:type="dxa"/>
            <w:right w:w="0" w:type="dxa"/>
          </w:tblCellMar>
        </w:tblPrEx>
        <w:trPr>
          <w:trHeight w:val="42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废水总排口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62"/>
                <w:lang w:val="en-US" w:eastAsia="zh-CN" w:bidi="ar"/>
              </w:rPr>
              <w:t>COD</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27.</w:t>
            </w:r>
            <w:r>
              <w:rPr>
                <w:rFonts w:hint="eastAsia" w:ascii="宋体" w:hAnsi="宋体" w:cs="宋体"/>
                <w:i w:val="0"/>
                <w:color w:val="000000"/>
                <w:kern w:val="0"/>
                <w:sz w:val="22"/>
                <w:szCs w:val="22"/>
                <w:u w:val="none"/>
                <w:lang w:val="en-US" w:eastAsia="zh-CN" w:bidi="ar"/>
              </w:rPr>
              <w:t>198 KG</w:t>
            </w:r>
          </w:p>
        </w:tc>
        <w:tc>
          <w:tcPr>
            <w:tcW w:w="1010"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260772.168m³</w:t>
            </w:r>
          </w:p>
        </w:tc>
      </w:tr>
      <w:tr>
        <w:tblPrEx>
          <w:tblCellMar>
            <w:top w:w="0" w:type="dxa"/>
            <w:left w:w="0" w:type="dxa"/>
            <w:bottom w:w="0" w:type="dxa"/>
            <w:right w:w="0" w:type="dxa"/>
          </w:tblCellMar>
        </w:tblPrEx>
        <w:trPr>
          <w:trHeight w:val="34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废水总排口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氨氮</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0.195</w:t>
            </w:r>
            <w:r>
              <w:rPr>
                <w:rFonts w:hint="eastAsia" w:ascii="宋体" w:hAnsi="宋体" w:cs="宋体"/>
                <w:i w:val="0"/>
                <w:color w:val="000000"/>
                <w:kern w:val="0"/>
                <w:sz w:val="22"/>
                <w:szCs w:val="22"/>
                <w:u w:val="none"/>
                <w:lang w:val="en-US" w:eastAsia="zh-CN" w:bidi="ar"/>
              </w:rPr>
              <w:t xml:space="preserve">  KG</w:t>
            </w:r>
          </w:p>
        </w:tc>
        <w:tc>
          <w:tcPr>
            <w:tcW w:w="1010"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46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废水总排口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62"/>
                <w:lang w:val="en-US" w:eastAsia="zh-CN" w:bidi="ar"/>
              </w:rPr>
              <w:t>SS</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监测机构监测</w:t>
            </w:r>
          </w:p>
        </w:tc>
        <w:tc>
          <w:tcPr>
            <w:tcW w:w="1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44.406</w:t>
            </w:r>
            <w:r>
              <w:rPr>
                <w:rFonts w:hint="eastAsia" w:ascii="宋体" w:hAnsi="宋体" w:cs="宋体"/>
                <w:i w:val="0"/>
                <w:color w:val="000000"/>
                <w:kern w:val="0"/>
                <w:sz w:val="22"/>
                <w:szCs w:val="22"/>
                <w:u w:val="none"/>
                <w:lang w:val="en-US" w:eastAsia="zh-CN" w:bidi="ar"/>
              </w:rPr>
              <w:t xml:space="preserve"> KG</w:t>
            </w:r>
          </w:p>
        </w:tc>
        <w:tc>
          <w:tcPr>
            <w:tcW w:w="1010"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cs="宋体"/>
                <w:i w:val="0"/>
                <w:color w:val="000000"/>
                <w:kern w:val="0"/>
                <w:sz w:val="22"/>
                <w:szCs w:val="22"/>
                <w:u w:val="none"/>
                <w:lang w:val="en-US" w:eastAsia="zh-CN" w:bidi="ar"/>
              </w:rPr>
            </w:pPr>
          </w:p>
        </w:tc>
      </w:tr>
      <w:bookmarkEnd w:id="19"/>
    </w:tbl>
    <w:p>
      <w:pPr>
        <w:pStyle w:val="9"/>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sz w:val="32"/>
          <w:szCs w:val="32"/>
          <w:lang w:val="en-US" w:eastAsia="zh-CN"/>
        </w:rPr>
      </w:pPr>
      <w:bookmarkStart w:id="20" w:name="_Toc24689"/>
      <w:r>
        <w:rPr>
          <w:rFonts w:hint="eastAsia" w:ascii="仿宋" w:hAnsi="仿宋" w:eastAsia="仿宋" w:cs="仿宋"/>
          <w:b/>
          <w:bCs/>
          <w:sz w:val="32"/>
          <w:szCs w:val="32"/>
          <w:lang w:val="en-US" w:eastAsia="zh-CN"/>
        </w:rPr>
        <w:t>废水排放去向：通过在线监测明渠、密闭管道排放至文革河</w:t>
      </w:r>
    </w:p>
    <w:p>
      <w:pPr>
        <w:pStyle w:val="4"/>
        <w:bidi w:val="0"/>
        <w:rPr>
          <w:rFonts w:hint="eastAsia" w:ascii="仿宋" w:hAnsi="仿宋" w:eastAsia="仿宋" w:cs="仿宋"/>
          <w:sz w:val="32"/>
          <w:szCs w:val="32"/>
          <w:lang w:val="en-US" w:eastAsia="zh-CN"/>
        </w:rPr>
      </w:pPr>
      <w:bookmarkStart w:id="21" w:name="_Toc21037"/>
      <w:r>
        <w:rPr>
          <w:rFonts w:hint="eastAsia" w:ascii="仿宋" w:hAnsi="仿宋" w:eastAsia="仿宋" w:cs="仿宋"/>
          <w:sz w:val="32"/>
          <w:szCs w:val="32"/>
          <w:lang w:val="en-US" w:eastAsia="zh-CN"/>
        </w:rPr>
        <w:t>5.2废气</w:t>
      </w:r>
      <w:bookmarkEnd w:id="20"/>
      <w:bookmarkEnd w:id="21"/>
    </w:p>
    <w:p>
      <w:pPr>
        <w:pStyle w:val="9"/>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依据废气在线监测及第三方季度监测报告提供的数据，</w:t>
      </w:r>
      <w:r>
        <w:rPr>
          <w:rFonts w:hint="eastAsia" w:ascii="仿宋" w:hAnsi="仿宋" w:eastAsia="仿宋" w:cs="仿宋"/>
          <w:kern w:val="2"/>
          <w:sz w:val="32"/>
          <w:szCs w:val="32"/>
          <w:lang w:val="en-US" w:eastAsia="zh-CN" w:bidi="ar-SA"/>
        </w:rPr>
        <w:t>2020年第1季度年废水特征污染物及排放量如下：</w:t>
      </w:r>
    </w:p>
    <w:tbl>
      <w:tblPr>
        <w:tblStyle w:val="21"/>
        <w:tblW w:w="4995" w:type="pct"/>
        <w:tblInd w:w="0" w:type="dxa"/>
        <w:shd w:val="clear" w:color="auto" w:fill="auto"/>
        <w:tblLayout w:type="autofit"/>
        <w:tblCellMar>
          <w:top w:w="0" w:type="dxa"/>
          <w:left w:w="0" w:type="dxa"/>
          <w:bottom w:w="0" w:type="dxa"/>
          <w:right w:w="0" w:type="dxa"/>
        </w:tblCellMar>
      </w:tblPr>
      <w:tblGrid>
        <w:gridCol w:w="1135"/>
        <w:gridCol w:w="1790"/>
        <w:gridCol w:w="1135"/>
        <w:gridCol w:w="1522"/>
        <w:gridCol w:w="2150"/>
        <w:gridCol w:w="2152"/>
      </w:tblGrid>
      <w:tr>
        <w:tblPrEx>
          <w:shd w:val="clear" w:color="auto" w:fill="auto"/>
          <w:tblCellMar>
            <w:top w:w="0" w:type="dxa"/>
            <w:left w:w="0" w:type="dxa"/>
            <w:bottom w:w="0" w:type="dxa"/>
            <w:right w:w="0" w:type="dxa"/>
          </w:tblCellMar>
        </w:tblPrEx>
        <w:trPr>
          <w:trHeight w:val="634"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排放口名称</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征收品目</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污染物名称</w:t>
            </w:r>
          </w:p>
        </w:tc>
        <w:tc>
          <w:tcPr>
            <w:tcW w:w="7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污染物排放量计算方法</w:t>
            </w:r>
          </w:p>
        </w:tc>
        <w:tc>
          <w:tcPr>
            <w:tcW w:w="10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污染物排放量（千克）</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废气排放量</w:t>
            </w:r>
          </w:p>
        </w:tc>
      </w:tr>
      <w:tr>
        <w:tblPrEx>
          <w:shd w:val="clear" w:color="auto" w:fill="auto"/>
          <w:tblCellMar>
            <w:top w:w="0" w:type="dxa"/>
            <w:left w:w="0" w:type="dxa"/>
            <w:bottom w:w="0" w:type="dxa"/>
            <w:right w:w="0" w:type="dxa"/>
          </w:tblCellMar>
        </w:tblPrEx>
        <w:trPr>
          <w:trHeight w:val="27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二氧化硫（气）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二氧化硫</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574.09</w:t>
            </w:r>
          </w:p>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088"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1948.28万m³</w:t>
            </w:r>
          </w:p>
        </w:tc>
      </w:tr>
      <w:tr>
        <w:tblPrEx>
          <w:shd w:val="clear" w:color="auto" w:fill="auto"/>
          <w:tblCellMar>
            <w:top w:w="0" w:type="dxa"/>
            <w:left w:w="0" w:type="dxa"/>
            <w:bottom w:w="0" w:type="dxa"/>
            <w:right w:w="0" w:type="dxa"/>
          </w:tblCellMar>
        </w:tblPrEx>
        <w:trPr>
          <w:trHeight w:val="27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氮氧化物（气）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氮氧化物</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298.89</w:t>
            </w:r>
          </w:p>
        </w:tc>
        <w:tc>
          <w:tcPr>
            <w:tcW w:w="108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一般性粉尘（气）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颗粒物</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117.45</w:t>
            </w:r>
          </w:p>
        </w:tc>
        <w:tc>
          <w:tcPr>
            <w:tcW w:w="108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4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原煤储运及煤浆制备区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一般性粉尘（气）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颗粒物</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监测机构监测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304.36</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11667万m³</w:t>
            </w:r>
          </w:p>
        </w:tc>
      </w:tr>
    </w:tbl>
    <w:p>
      <w:pPr>
        <w:pStyle w:val="9"/>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废水排放去向：大气</w:t>
      </w:r>
    </w:p>
    <w:p>
      <w:pPr>
        <w:pStyle w:val="4"/>
        <w:bidi w:val="0"/>
        <w:rPr>
          <w:rFonts w:hint="eastAsia" w:ascii="仿宋" w:hAnsi="仿宋" w:eastAsia="仿宋" w:cs="仿宋"/>
          <w:sz w:val="32"/>
          <w:szCs w:val="32"/>
          <w:lang w:val="en-US" w:eastAsia="zh-CN"/>
        </w:rPr>
      </w:pPr>
      <w:bookmarkStart w:id="22" w:name="_Toc23564"/>
      <w:bookmarkStart w:id="23" w:name="_Toc25390"/>
      <w:r>
        <w:rPr>
          <w:rFonts w:hint="eastAsia" w:ascii="仿宋" w:hAnsi="仿宋" w:eastAsia="仿宋" w:cs="仿宋"/>
          <w:sz w:val="32"/>
          <w:szCs w:val="32"/>
          <w:lang w:val="en-US" w:eastAsia="zh-CN"/>
        </w:rPr>
        <w:t>5.3 固废</w:t>
      </w:r>
      <w:bookmarkEnd w:id="22"/>
      <w:bookmarkEnd w:id="23"/>
    </w:p>
    <w:p>
      <w:pPr>
        <w:pStyle w:val="8"/>
        <w:pageBreakBefore w:val="0"/>
        <w:widowControl w:val="0"/>
        <w:kinsoku/>
        <w:wordWrap/>
        <w:overflowPunct/>
        <w:topLinePunct w:val="0"/>
        <w:autoSpaceDE/>
        <w:autoSpaceDN/>
        <w:bidi w:val="0"/>
        <w:adjustRightInd/>
        <w:snapToGrid/>
        <w:spacing w:after="0" w:afterLines="0" w:line="360" w:lineRule="auto"/>
        <w:ind w:firstLine="640" w:firstLineChars="200"/>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安阳盈德主要固体废物是灰渣及生活垃圾，2020年第一季度公司固废排放综合利用情况如下：</w:t>
      </w:r>
    </w:p>
    <w:tbl>
      <w:tblPr>
        <w:tblStyle w:val="21"/>
        <w:tblW w:w="5000" w:type="pct"/>
        <w:tblInd w:w="0" w:type="dxa"/>
        <w:shd w:val="clear" w:color="auto" w:fill="auto"/>
        <w:tblLayout w:type="fixed"/>
        <w:tblCellMar>
          <w:top w:w="0" w:type="dxa"/>
          <w:left w:w="0" w:type="dxa"/>
          <w:bottom w:w="0" w:type="dxa"/>
          <w:right w:w="0" w:type="dxa"/>
        </w:tblCellMar>
      </w:tblPr>
      <w:tblGrid>
        <w:gridCol w:w="439"/>
        <w:gridCol w:w="1260"/>
        <w:gridCol w:w="1260"/>
        <w:gridCol w:w="1672"/>
        <w:gridCol w:w="851"/>
        <w:gridCol w:w="801"/>
        <w:gridCol w:w="1650"/>
        <w:gridCol w:w="1961"/>
      </w:tblGrid>
      <w:tr>
        <w:tblPrEx>
          <w:tblCellMar>
            <w:top w:w="0" w:type="dxa"/>
            <w:left w:w="0" w:type="dxa"/>
            <w:bottom w:w="0" w:type="dxa"/>
            <w:right w:w="0" w:type="dxa"/>
          </w:tblCellMar>
        </w:tblPrEx>
        <w:trPr>
          <w:trHeight w:val="54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2020年盈德气体危废/固废及回收利用率统计表</w:t>
            </w:r>
          </w:p>
        </w:tc>
      </w:tr>
      <w:tr>
        <w:tblPrEx>
          <w:shd w:val="clear" w:color="auto" w:fill="auto"/>
          <w:tblCellMar>
            <w:top w:w="0" w:type="dxa"/>
            <w:left w:w="0" w:type="dxa"/>
            <w:bottom w:w="0" w:type="dxa"/>
            <w:right w:w="0" w:type="dxa"/>
          </w:tblCellMar>
        </w:tblPrEx>
        <w:trPr>
          <w:trHeight w:val="5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序号</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固体废物名称</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产生量（吨）</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回收利用量（吨）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综合处置</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库存</w:t>
            </w:r>
          </w:p>
          <w:p>
            <w:pPr>
              <w:pStyle w:val="11"/>
              <w:rPr>
                <w:rFonts w:hint="eastAsia"/>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回收利用率</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备注</w:t>
            </w:r>
          </w:p>
        </w:tc>
      </w:tr>
      <w:tr>
        <w:tblPrEx>
          <w:shd w:val="clear" w:color="auto" w:fill="auto"/>
          <w:tblCellMar>
            <w:top w:w="0" w:type="dxa"/>
            <w:left w:w="0" w:type="dxa"/>
            <w:bottom w:w="0" w:type="dxa"/>
            <w:right w:w="0" w:type="dxa"/>
          </w:tblCellMar>
        </w:tblPrEx>
        <w:trPr>
          <w:trHeight w:val="8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灰渣</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宋体" w:hAnsi="宋体" w:cs="宋体"/>
                <w:kern w:val="0"/>
                <w:sz w:val="24"/>
                <w:lang w:val="en-US" w:eastAsia="zh-CN"/>
              </w:rPr>
              <w:t>19500</w:t>
            </w:r>
            <w:r>
              <w:rPr>
                <w:rFonts w:hint="eastAsia" w:ascii="仿宋" w:hAnsi="仿宋" w:eastAsia="仿宋" w:cs="仿宋"/>
                <w:i w:val="0"/>
                <w:color w:val="000000"/>
                <w:kern w:val="0"/>
                <w:sz w:val="24"/>
                <w:szCs w:val="24"/>
                <w:u w:val="none"/>
                <w:lang w:val="en-US" w:eastAsia="zh-CN" w:bidi="ar"/>
              </w:rPr>
              <w:t xml:space="preserve"> </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18500 </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1000 </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94.8% </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外售做建材</w:t>
            </w:r>
          </w:p>
        </w:tc>
      </w:tr>
      <w:tr>
        <w:tblPrEx>
          <w:shd w:val="clear" w:color="auto" w:fill="auto"/>
          <w:tblCellMar>
            <w:top w:w="0" w:type="dxa"/>
            <w:left w:w="0" w:type="dxa"/>
            <w:bottom w:w="0" w:type="dxa"/>
            <w:right w:w="0" w:type="dxa"/>
          </w:tblCellMar>
        </w:tblPrEx>
        <w:trPr>
          <w:trHeight w:val="8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污泥</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 xml:space="preserve"> 50.93</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50.93</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100 %</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污泥与原料煤掺烧，不外排环境</w:t>
            </w:r>
          </w:p>
        </w:tc>
      </w:tr>
      <w:tr>
        <w:tblPrEx>
          <w:shd w:val="clear" w:color="auto" w:fill="auto"/>
          <w:tblCellMar>
            <w:top w:w="0" w:type="dxa"/>
            <w:left w:w="0" w:type="dxa"/>
            <w:bottom w:w="0" w:type="dxa"/>
            <w:right w:w="0" w:type="dxa"/>
          </w:tblCellMar>
        </w:tblPrEx>
        <w:trPr>
          <w:trHeight w:val="8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b w:val="0"/>
                <w:bCs w:val="0"/>
                <w:i w:val="0"/>
                <w:color w:val="000000"/>
                <w:kern w:val="0"/>
                <w:sz w:val="24"/>
                <w:szCs w:val="24"/>
                <w:u w:val="none"/>
                <w:lang w:val="en-US" w:eastAsia="zh-CN" w:bidi="ar"/>
              </w:rPr>
              <w:t>生活建筑垃圾</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6.2</w:t>
            </w:r>
            <w:bookmarkStart w:id="26" w:name="_GoBack"/>
            <w:bookmarkEnd w:id="26"/>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 xml:space="preserve"> </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建筑废料送至垃圾处理厂</w:t>
            </w:r>
          </w:p>
        </w:tc>
      </w:tr>
    </w:tbl>
    <w:p>
      <w:pPr>
        <w:rPr>
          <w:rFonts w:hint="default"/>
          <w:lang w:val="en-US" w:eastAsia="zh-CN"/>
        </w:rPr>
      </w:pPr>
    </w:p>
    <w:p>
      <w:pPr>
        <w:pStyle w:val="4"/>
        <w:bidi w:val="0"/>
        <w:rPr>
          <w:rFonts w:hint="eastAsia" w:ascii="仿宋" w:hAnsi="仿宋" w:eastAsia="仿宋" w:cs="仿宋"/>
          <w:sz w:val="32"/>
          <w:szCs w:val="32"/>
          <w:lang w:val="en-US" w:eastAsia="zh-CN"/>
        </w:rPr>
      </w:pPr>
      <w:bookmarkStart w:id="24" w:name="_Toc23057"/>
      <w:bookmarkStart w:id="25" w:name="_Toc23945"/>
      <w:r>
        <w:rPr>
          <w:rFonts w:hint="eastAsia" w:ascii="仿宋" w:hAnsi="仿宋" w:eastAsia="仿宋" w:cs="仿宋"/>
          <w:sz w:val="32"/>
          <w:szCs w:val="32"/>
          <w:lang w:val="en-US" w:eastAsia="zh-CN"/>
        </w:rPr>
        <w:t>5.4 结论</w:t>
      </w:r>
      <w:bookmarkEnd w:id="24"/>
      <w:bookmarkEnd w:id="25"/>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仿宋" w:hAnsi="仿宋" w:eastAsia="仿宋" w:cs="仿宋"/>
          <w:b w:val="0"/>
          <w:bCs/>
          <w:sz w:val="32"/>
          <w:szCs w:val="32"/>
          <w:lang w:val="en-US" w:eastAsia="zh-CN"/>
        </w:rPr>
      </w:pPr>
      <w:r>
        <w:rPr>
          <w:rFonts w:hint="eastAsia" w:ascii="仿宋" w:hAnsi="仿宋" w:eastAsia="仿宋" w:cs="仿宋"/>
          <w:sz w:val="32"/>
          <w:szCs w:val="32"/>
          <w:lang w:val="en-US" w:eastAsia="zh-CN"/>
        </w:rPr>
        <w:t xml:space="preserve">  依据2020年第一季度环境检测报告及在线在内测数据，公司三废总排放量如下：公司废水排放：</w:t>
      </w:r>
      <w:r>
        <w:rPr>
          <w:rFonts w:hint="eastAsia" w:ascii="仿宋" w:hAnsi="仿宋" w:eastAsia="仿宋" w:cs="仿宋"/>
          <w:i w:val="0"/>
          <w:color w:val="000000"/>
          <w:kern w:val="0"/>
          <w:sz w:val="32"/>
          <w:szCs w:val="32"/>
          <w:u w:val="none"/>
          <w:lang w:val="en-US" w:eastAsia="zh-CN" w:bidi="ar"/>
        </w:rPr>
        <w:t>260772.168m³</w:t>
      </w:r>
      <w:r>
        <w:rPr>
          <w:rFonts w:hint="eastAsia" w:ascii="仿宋" w:hAnsi="仿宋" w:eastAsia="仿宋" w:cs="仿宋"/>
          <w:sz w:val="32"/>
          <w:szCs w:val="32"/>
          <w:lang w:val="en-US" w:eastAsia="zh-CN"/>
        </w:rPr>
        <w:t>、废水中主要污染物排放量：COD</w:t>
      </w:r>
      <w:r>
        <w:rPr>
          <w:rFonts w:hint="eastAsia" w:ascii="仿宋" w:hAnsi="仿宋" w:eastAsia="仿宋" w:cs="仿宋"/>
          <w:i w:val="0"/>
          <w:color w:val="000000"/>
          <w:kern w:val="0"/>
          <w:sz w:val="32"/>
          <w:szCs w:val="32"/>
          <w:u w:val="none"/>
          <w:lang w:val="en-US" w:eastAsia="zh-CN" w:bidi="ar"/>
        </w:rPr>
        <w:t>27.198 Kg</w:t>
      </w:r>
      <w:r>
        <w:rPr>
          <w:rFonts w:hint="eastAsia" w:ascii="仿宋" w:hAnsi="仿宋" w:eastAsia="仿宋" w:cs="仿宋"/>
          <w:sz w:val="32"/>
          <w:szCs w:val="32"/>
          <w:lang w:val="en-US" w:eastAsia="zh-CN"/>
        </w:rPr>
        <w:t>、氨氮</w:t>
      </w:r>
      <w:r>
        <w:rPr>
          <w:rFonts w:hint="eastAsia" w:ascii="仿宋" w:hAnsi="仿宋" w:eastAsia="仿宋" w:cs="仿宋"/>
          <w:i w:val="0"/>
          <w:color w:val="000000"/>
          <w:kern w:val="0"/>
          <w:sz w:val="32"/>
          <w:szCs w:val="32"/>
          <w:u w:val="none"/>
          <w:lang w:val="en-US" w:eastAsia="zh-CN" w:bidi="ar"/>
        </w:rPr>
        <w:t>0.195 Kg悬浮物44.406 Kg，符合环评批复及《河南省合成氨工业废水污染物排放标准》（DB41538-2017）；</w:t>
      </w:r>
      <w:r>
        <w:rPr>
          <w:rFonts w:hint="eastAsia" w:ascii="仿宋" w:hAnsi="仿宋" w:eastAsia="仿宋" w:cs="仿宋"/>
          <w:sz w:val="32"/>
          <w:szCs w:val="32"/>
          <w:lang w:val="en-US" w:eastAsia="zh-CN"/>
        </w:rPr>
        <w:t>废气排放：13615万m³，废气中主要特征污染物排放量：二氧化硫</w:t>
      </w:r>
      <w:r>
        <w:rPr>
          <w:rFonts w:hint="eastAsia" w:ascii="仿宋" w:hAnsi="仿宋" w:eastAsia="仿宋" w:cs="仿宋"/>
          <w:i w:val="0"/>
          <w:color w:val="000000"/>
          <w:kern w:val="0"/>
          <w:sz w:val="32"/>
          <w:szCs w:val="32"/>
          <w:u w:val="none"/>
          <w:lang w:val="en-US" w:eastAsia="zh-CN" w:bidi="ar"/>
        </w:rPr>
        <w:t>574.09Kg、氮氧化物298.89kg,颗粒物421.81Kg，排放浓度及排放量均符合排污许可及环评要求。</w:t>
      </w:r>
    </w:p>
    <w:sectPr>
      <w:headerReference r:id="rId5" w:type="default"/>
      <w:footerReference r:id="rId6" w:type="default"/>
      <w:pgSz w:w="11906" w:h="16838"/>
      <w:pgMar w:top="1418" w:right="1021" w:bottom="1418" w:left="1021" w:header="1134" w:footer="45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ind w:right="540"/>
      <w:jc w:val="right"/>
      <w:rPr>
        <w:rFonts w:ascii="华文细黑" w:hAnsi="华文细黑" w:eastAsia="华文细黑"/>
        <w:sz w:val="13"/>
        <w:szCs w:val="15"/>
      </w:rPr>
    </w:pPr>
    <w:r>
      <w:rPr>
        <w:sz w:val="13"/>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微软雅黑" w:hAnsi="微软雅黑" w:eastAsia="微软雅黑" w:cs="宋体"/>
        <w:sz w:val="12"/>
        <w:szCs w:val="12"/>
      </w:rPr>
    </w:pPr>
    <w:r>
      <mc:AlternateContent>
        <mc:Choice Requires="wps">
          <w:drawing>
            <wp:anchor distT="0" distB="0" distL="114300" distR="114300" simplePos="0" relativeHeight="251697152" behindDoc="0" locked="0" layoutInCell="1" allowOverlap="1">
              <wp:simplePos x="0" y="0"/>
              <wp:positionH relativeFrom="column">
                <wp:posOffset>142240</wp:posOffset>
              </wp:positionH>
              <wp:positionV relativeFrom="paragraph">
                <wp:posOffset>-358140</wp:posOffset>
              </wp:positionV>
              <wp:extent cx="1981200" cy="53340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1981200" cy="533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pt;margin-top:-28.2pt;height:42pt;width:156pt;z-index:251697152;mso-width-relative:page;mso-height-relative:page;" fillcolor="#FFFFFF" filled="t" stroked="f" coordsize="21600,21600" o:gfxdata="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i8Vo1wAAAAkBAAAPAAAAAAAAAAEAIAAAACIAAABkcnMvZG93bnJl&#10;di54bWxQSwECFAAUAAAACACHTuJAkyCFvP4BAADYAwAADgAAAAAAAAABACAAAAAmAQAAZHJzL2Uy&#10;b0RvYy54bWxQSwUGAAAAAAYABgBZAQAAlgUAAAAA&#10;">
              <v:fill on="t" focussize="0,0"/>
              <v:stroke on="f"/>
              <v:imagedata o:title=""/>
              <o:lock v:ext="edit" aspectratio="f"/>
            </v:rect>
          </w:pict>
        </mc:Fallback>
      </mc:AlternateContent>
    </w:r>
    <w:r>
      <w:drawing>
        <wp:anchor distT="0" distB="0" distL="114300" distR="114300" simplePos="0" relativeHeight="251650048" behindDoc="1" locked="0" layoutInCell="1" allowOverlap="1">
          <wp:simplePos x="0" y="0"/>
          <wp:positionH relativeFrom="column">
            <wp:posOffset>5080</wp:posOffset>
          </wp:positionH>
          <wp:positionV relativeFrom="paragraph">
            <wp:posOffset>-631190</wp:posOffset>
          </wp:positionV>
          <wp:extent cx="6477635" cy="914400"/>
          <wp:effectExtent l="0" t="0" r="0" b="0"/>
          <wp:wrapNone/>
          <wp:docPr id="7" name="图片 7" descr="B应用系统-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应用系统-6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635" cy="914400"/>
                  </a:xfrm>
                  <a:prstGeom prst="rect">
                    <a:avLst/>
                  </a:prstGeom>
                  <a:noFill/>
                  <a:ln>
                    <a:noFill/>
                  </a:ln>
                </pic:spPr>
              </pic:pic>
            </a:graphicData>
          </a:graphic>
        </wp:anchor>
      </w:drawing>
    </w:r>
  </w:p>
  <w:p>
    <w:pPr>
      <w:spacing w:line="140" w:lineRule="atLeast"/>
      <w:rPr>
        <w:rFonts w:ascii="微软雅黑" w:hAnsi="微软雅黑" w:eastAsia="微软雅黑" w:cs="宋体"/>
        <w:sz w:val="12"/>
        <w:szCs w:val="12"/>
      </w:rPr>
    </w:pPr>
  </w:p>
  <w:p>
    <w:pPr>
      <w:rPr>
        <w:rFonts w:ascii="微软雅黑" w:hAnsi="微软雅黑" w:eastAsia="微软雅黑" w:cs="宋体"/>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37F"/>
    <w:rsid w:val="000000D0"/>
    <w:rsid w:val="000075E0"/>
    <w:rsid w:val="000116D0"/>
    <w:rsid w:val="00047406"/>
    <w:rsid w:val="00047A1C"/>
    <w:rsid w:val="00061BD0"/>
    <w:rsid w:val="0007246D"/>
    <w:rsid w:val="00076BEE"/>
    <w:rsid w:val="0007784B"/>
    <w:rsid w:val="00081896"/>
    <w:rsid w:val="00085B65"/>
    <w:rsid w:val="0009122A"/>
    <w:rsid w:val="000959A0"/>
    <w:rsid w:val="000959A9"/>
    <w:rsid w:val="000A1193"/>
    <w:rsid w:val="000A2637"/>
    <w:rsid w:val="000C2CA1"/>
    <w:rsid w:val="000C3596"/>
    <w:rsid w:val="000D0AEB"/>
    <w:rsid w:val="000D7E30"/>
    <w:rsid w:val="000E466B"/>
    <w:rsid w:val="000F4522"/>
    <w:rsid w:val="000F7469"/>
    <w:rsid w:val="00100A70"/>
    <w:rsid w:val="001049B6"/>
    <w:rsid w:val="001163AF"/>
    <w:rsid w:val="00116695"/>
    <w:rsid w:val="001216F4"/>
    <w:rsid w:val="001265FF"/>
    <w:rsid w:val="0013592B"/>
    <w:rsid w:val="001371DC"/>
    <w:rsid w:val="001374BF"/>
    <w:rsid w:val="00137BF1"/>
    <w:rsid w:val="0014434D"/>
    <w:rsid w:val="001601AA"/>
    <w:rsid w:val="00166A26"/>
    <w:rsid w:val="00175BFC"/>
    <w:rsid w:val="001809DB"/>
    <w:rsid w:val="001937AC"/>
    <w:rsid w:val="0019563D"/>
    <w:rsid w:val="001B34BF"/>
    <w:rsid w:val="001B419E"/>
    <w:rsid w:val="001C171D"/>
    <w:rsid w:val="001D5E8D"/>
    <w:rsid w:val="001E0E9D"/>
    <w:rsid w:val="001E122B"/>
    <w:rsid w:val="001E13C3"/>
    <w:rsid w:val="001F3B29"/>
    <w:rsid w:val="001F6155"/>
    <w:rsid w:val="00211278"/>
    <w:rsid w:val="00213542"/>
    <w:rsid w:val="00214015"/>
    <w:rsid w:val="00221769"/>
    <w:rsid w:val="00225C88"/>
    <w:rsid w:val="00226377"/>
    <w:rsid w:val="00231E30"/>
    <w:rsid w:val="0025035C"/>
    <w:rsid w:val="00267B1D"/>
    <w:rsid w:val="00274A1D"/>
    <w:rsid w:val="00275C93"/>
    <w:rsid w:val="0027762C"/>
    <w:rsid w:val="002879BF"/>
    <w:rsid w:val="00290AC9"/>
    <w:rsid w:val="002B56AF"/>
    <w:rsid w:val="002D32AE"/>
    <w:rsid w:val="002D3CDD"/>
    <w:rsid w:val="002E5B0E"/>
    <w:rsid w:val="003024A6"/>
    <w:rsid w:val="00305A90"/>
    <w:rsid w:val="0031642A"/>
    <w:rsid w:val="00350026"/>
    <w:rsid w:val="00352E26"/>
    <w:rsid w:val="003579D1"/>
    <w:rsid w:val="00370A85"/>
    <w:rsid w:val="00394C22"/>
    <w:rsid w:val="003A7F88"/>
    <w:rsid w:val="003B137F"/>
    <w:rsid w:val="003B18D6"/>
    <w:rsid w:val="003C25D3"/>
    <w:rsid w:val="003C2D47"/>
    <w:rsid w:val="003D03BE"/>
    <w:rsid w:val="003D121B"/>
    <w:rsid w:val="003D3AA7"/>
    <w:rsid w:val="003F1A78"/>
    <w:rsid w:val="003F2A3B"/>
    <w:rsid w:val="003F3153"/>
    <w:rsid w:val="004035B0"/>
    <w:rsid w:val="00403EBC"/>
    <w:rsid w:val="00414A1F"/>
    <w:rsid w:val="00425B37"/>
    <w:rsid w:val="00425FF8"/>
    <w:rsid w:val="00454839"/>
    <w:rsid w:val="004549F0"/>
    <w:rsid w:val="0045786D"/>
    <w:rsid w:val="00461C68"/>
    <w:rsid w:val="0048498B"/>
    <w:rsid w:val="004905DC"/>
    <w:rsid w:val="00490CC1"/>
    <w:rsid w:val="004973C3"/>
    <w:rsid w:val="004B4B9F"/>
    <w:rsid w:val="004C5F74"/>
    <w:rsid w:val="004D1781"/>
    <w:rsid w:val="004D5AF4"/>
    <w:rsid w:val="004F5CA8"/>
    <w:rsid w:val="004F61DF"/>
    <w:rsid w:val="00500042"/>
    <w:rsid w:val="00507DD1"/>
    <w:rsid w:val="00513434"/>
    <w:rsid w:val="00520072"/>
    <w:rsid w:val="00522EF7"/>
    <w:rsid w:val="00530DB2"/>
    <w:rsid w:val="00532B47"/>
    <w:rsid w:val="00534C93"/>
    <w:rsid w:val="00551022"/>
    <w:rsid w:val="00552A89"/>
    <w:rsid w:val="00564D25"/>
    <w:rsid w:val="00585576"/>
    <w:rsid w:val="00585C3C"/>
    <w:rsid w:val="00597D6C"/>
    <w:rsid w:val="005A12B7"/>
    <w:rsid w:val="005E4BC1"/>
    <w:rsid w:val="005F0192"/>
    <w:rsid w:val="00600427"/>
    <w:rsid w:val="0060303B"/>
    <w:rsid w:val="00604EBB"/>
    <w:rsid w:val="00605BA4"/>
    <w:rsid w:val="00615EE7"/>
    <w:rsid w:val="00643EA6"/>
    <w:rsid w:val="006446E3"/>
    <w:rsid w:val="00646F50"/>
    <w:rsid w:val="0065179B"/>
    <w:rsid w:val="00667A57"/>
    <w:rsid w:val="0067339E"/>
    <w:rsid w:val="006776EC"/>
    <w:rsid w:val="00681C83"/>
    <w:rsid w:val="006A381A"/>
    <w:rsid w:val="006A4EB2"/>
    <w:rsid w:val="006B33F4"/>
    <w:rsid w:val="006B513A"/>
    <w:rsid w:val="006C6540"/>
    <w:rsid w:val="006D55C6"/>
    <w:rsid w:val="006D652B"/>
    <w:rsid w:val="006E6E86"/>
    <w:rsid w:val="00715545"/>
    <w:rsid w:val="007227DC"/>
    <w:rsid w:val="00724C44"/>
    <w:rsid w:val="00726B21"/>
    <w:rsid w:val="0073378C"/>
    <w:rsid w:val="00744214"/>
    <w:rsid w:val="00760DD7"/>
    <w:rsid w:val="00761F13"/>
    <w:rsid w:val="00764EEE"/>
    <w:rsid w:val="0078301E"/>
    <w:rsid w:val="00783568"/>
    <w:rsid w:val="00787F52"/>
    <w:rsid w:val="007977EC"/>
    <w:rsid w:val="00797C8F"/>
    <w:rsid w:val="007A137B"/>
    <w:rsid w:val="007A6525"/>
    <w:rsid w:val="007B7D1E"/>
    <w:rsid w:val="007C0CC7"/>
    <w:rsid w:val="007C1882"/>
    <w:rsid w:val="007C3772"/>
    <w:rsid w:val="007C625A"/>
    <w:rsid w:val="007D7AA9"/>
    <w:rsid w:val="007F3D7F"/>
    <w:rsid w:val="007F4549"/>
    <w:rsid w:val="007F4C3D"/>
    <w:rsid w:val="00800826"/>
    <w:rsid w:val="00803CCA"/>
    <w:rsid w:val="00812C34"/>
    <w:rsid w:val="0081364B"/>
    <w:rsid w:val="0084057B"/>
    <w:rsid w:val="00845B53"/>
    <w:rsid w:val="0085031E"/>
    <w:rsid w:val="008615E4"/>
    <w:rsid w:val="008650C4"/>
    <w:rsid w:val="00870FE2"/>
    <w:rsid w:val="008710D4"/>
    <w:rsid w:val="00873FE6"/>
    <w:rsid w:val="00884103"/>
    <w:rsid w:val="00887EDE"/>
    <w:rsid w:val="008971B7"/>
    <w:rsid w:val="008A51E8"/>
    <w:rsid w:val="008D3145"/>
    <w:rsid w:val="008D4193"/>
    <w:rsid w:val="008E5228"/>
    <w:rsid w:val="00954CDB"/>
    <w:rsid w:val="00960F0D"/>
    <w:rsid w:val="00971AE1"/>
    <w:rsid w:val="009740CD"/>
    <w:rsid w:val="00980B52"/>
    <w:rsid w:val="009828DB"/>
    <w:rsid w:val="009A48A9"/>
    <w:rsid w:val="009A603C"/>
    <w:rsid w:val="009C50CF"/>
    <w:rsid w:val="009C7326"/>
    <w:rsid w:val="009E5A2B"/>
    <w:rsid w:val="009F08A1"/>
    <w:rsid w:val="009F29AA"/>
    <w:rsid w:val="009F6C7F"/>
    <w:rsid w:val="00A1040E"/>
    <w:rsid w:val="00A4653A"/>
    <w:rsid w:val="00A51957"/>
    <w:rsid w:val="00A93ACE"/>
    <w:rsid w:val="00A947A9"/>
    <w:rsid w:val="00A953AE"/>
    <w:rsid w:val="00AD7340"/>
    <w:rsid w:val="00AE5474"/>
    <w:rsid w:val="00AF49DE"/>
    <w:rsid w:val="00B13C99"/>
    <w:rsid w:val="00B17445"/>
    <w:rsid w:val="00B2321F"/>
    <w:rsid w:val="00B24CFC"/>
    <w:rsid w:val="00B2596B"/>
    <w:rsid w:val="00B30238"/>
    <w:rsid w:val="00B34F7E"/>
    <w:rsid w:val="00B4266E"/>
    <w:rsid w:val="00B53927"/>
    <w:rsid w:val="00B66F68"/>
    <w:rsid w:val="00B70D4D"/>
    <w:rsid w:val="00B71270"/>
    <w:rsid w:val="00B75968"/>
    <w:rsid w:val="00B7638E"/>
    <w:rsid w:val="00B76437"/>
    <w:rsid w:val="00B77C2B"/>
    <w:rsid w:val="00B8081F"/>
    <w:rsid w:val="00B9063C"/>
    <w:rsid w:val="00B93852"/>
    <w:rsid w:val="00B94239"/>
    <w:rsid w:val="00B94C4A"/>
    <w:rsid w:val="00BA3983"/>
    <w:rsid w:val="00BC4528"/>
    <w:rsid w:val="00BC47A6"/>
    <w:rsid w:val="00BE06C2"/>
    <w:rsid w:val="00BE4F1A"/>
    <w:rsid w:val="00BE7AE4"/>
    <w:rsid w:val="00C04B5E"/>
    <w:rsid w:val="00C07044"/>
    <w:rsid w:val="00C11145"/>
    <w:rsid w:val="00C20F17"/>
    <w:rsid w:val="00C236CC"/>
    <w:rsid w:val="00C31362"/>
    <w:rsid w:val="00C3313C"/>
    <w:rsid w:val="00C402DC"/>
    <w:rsid w:val="00C40431"/>
    <w:rsid w:val="00C627A5"/>
    <w:rsid w:val="00C7317E"/>
    <w:rsid w:val="00C9718C"/>
    <w:rsid w:val="00CA4EB1"/>
    <w:rsid w:val="00CB4FF5"/>
    <w:rsid w:val="00CB580D"/>
    <w:rsid w:val="00CD71AD"/>
    <w:rsid w:val="00CE4DFC"/>
    <w:rsid w:val="00D056F8"/>
    <w:rsid w:val="00D127AE"/>
    <w:rsid w:val="00D1645C"/>
    <w:rsid w:val="00D243ED"/>
    <w:rsid w:val="00D36EB9"/>
    <w:rsid w:val="00D45B27"/>
    <w:rsid w:val="00D51CA2"/>
    <w:rsid w:val="00D63457"/>
    <w:rsid w:val="00D63532"/>
    <w:rsid w:val="00D6501B"/>
    <w:rsid w:val="00D6755E"/>
    <w:rsid w:val="00D75B69"/>
    <w:rsid w:val="00D86E45"/>
    <w:rsid w:val="00D92B18"/>
    <w:rsid w:val="00DA509A"/>
    <w:rsid w:val="00DA5319"/>
    <w:rsid w:val="00DC6341"/>
    <w:rsid w:val="00DC641B"/>
    <w:rsid w:val="00DD7C93"/>
    <w:rsid w:val="00DF3F12"/>
    <w:rsid w:val="00DF4449"/>
    <w:rsid w:val="00E0627A"/>
    <w:rsid w:val="00E06D4F"/>
    <w:rsid w:val="00E30260"/>
    <w:rsid w:val="00E32067"/>
    <w:rsid w:val="00E34CFA"/>
    <w:rsid w:val="00E46AAE"/>
    <w:rsid w:val="00E47337"/>
    <w:rsid w:val="00E60DDD"/>
    <w:rsid w:val="00E71D5E"/>
    <w:rsid w:val="00E85F18"/>
    <w:rsid w:val="00E91D78"/>
    <w:rsid w:val="00E9610F"/>
    <w:rsid w:val="00E97188"/>
    <w:rsid w:val="00EA0449"/>
    <w:rsid w:val="00EA22D5"/>
    <w:rsid w:val="00EB1D42"/>
    <w:rsid w:val="00EB5765"/>
    <w:rsid w:val="00EC01C5"/>
    <w:rsid w:val="00EC1E46"/>
    <w:rsid w:val="00EE1A8B"/>
    <w:rsid w:val="00EE35A5"/>
    <w:rsid w:val="00EE5FCF"/>
    <w:rsid w:val="00EF0E53"/>
    <w:rsid w:val="00F0179A"/>
    <w:rsid w:val="00F044B3"/>
    <w:rsid w:val="00F070C5"/>
    <w:rsid w:val="00F10328"/>
    <w:rsid w:val="00F10543"/>
    <w:rsid w:val="00F16246"/>
    <w:rsid w:val="00F2043A"/>
    <w:rsid w:val="00F244F0"/>
    <w:rsid w:val="00F31008"/>
    <w:rsid w:val="00F36960"/>
    <w:rsid w:val="00F40347"/>
    <w:rsid w:val="00F46BC8"/>
    <w:rsid w:val="00F46DF5"/>
    <w:rsid w:val="00F573FE"/>
    <w:rsid w:val="00F77ED8"/>
    <w:rsid w:val="00F8483F"/>
    <w:rsid w:val="00F868DA"/>
    <w:rsid w:val="00F922E4"/>
    <w:rsid w:val="00FB5D1C"/>
    <w:rsid w:val="00FD4C68"/>
    <w:rsid w:val="00FF56CC"/>
    <w:rsid w:val="00FF5C50"/>
    <w:rsid w:val="047D4377"/>
    <w:rsid w:val="0DC7437D"/>
    <w:rsid w:val="17DC5152"/>
    <w:rsid w:val="19273811"/>
    <w:rsid w:val="1B860F6B"/>
    <w:rsid w:val="219936E2"/>
    <w:rsid w:val="22DE47C6"/>
    <w:rsid w:val="26D47BBF"/>
    <w:rsid w:val="2CF47FC1"/>
    <w:rsid w:val="2F5D7452"/>
    <w:rsid w:val="32576B8E"/>
    <w:rsid w:val="35D12757"/>
    <w:rsid w:val="38A16A7F"/>
    <w:rsid w:val="3C4A53EA"/>
    <w:rsid w:val="3CC920F7"/>
    <w:rsid w:val="3EED2BFF"/>
    <w:rsid w:val="4424493E"/>
    <w:rsid w:val="470F3D1C"/>
    <w:rsid w:val="49876379"/>
    <w:rsid w:val="4AA05657"/>
    <w:rsid w:val="4D166648"/>
    <w:rsid w:val="4DE32AD2"/>
    <w:rsid w:val="502E30DE"/>
    <w:rsid w:val="5049236A"/>
    <w:rsid w:val="59CF27A9"/>
    <w:rsid w:val="65E70333"/>
    <w:rsid w:val="67AA0FCD"/>
    <w:rsid w:val="68247DCC"/>
    <w:rsid w:val="68E52A50"/>
    <w:rsid w:val="6B367AA7"/>
    <w:rsid w:val="6B9875C1"/>
    <w:rsid w:val="6C9518A9"/>
    <w:rsid w:val="761A4EC4"/>
    <w:rsid w:val="76915F75"/>
    <w:rsid w:val="796F64D6"/>
    <w:rsid w:val="79EE042C"/>
    <w:rsid w:val="7A2E1ECF"/>
    <w:rsid w:val="7A39259C"/>
    <w:rsid w:val="7A441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10" w:beforeLines="0" w:beforeAutospacing="0" w:after="10" w:afterLines="0" w:afterAutospacing="0" w:line="276" w:lineRule="auto"/>
      <w:outlineLvl w:val="0"/>
    </w:pPr>
    <w:rPr>
      <w:rFonts w:eastAsia="微软雅黑"/>
      <w:b/>
      <w:kern w:val="44"/>
      <w:sz w:val="28"/>
    </w:rPr>
  </w:style>
  <w:style w:type="paragraph" w:styleId="4">
    <w:name w:val="heading 2"/>
    <w:basedOn w:val="1"/>
    <w:next w:val="1"/>
    <w:qFormat/>
    <w:uiPriority w:val="0"/>
    <w:pPr>
      <w:keepNext/>
      <w:keepLines/>
      <w:spacing w:before="10" w:after="10" w:line="276" w:lineRule="auto"/>
      <w:outlineLvl w:val="1"/>
    </w:pPr>
    <w:rPr>
      <w:rFonts w:ascii="Cambria" w:hAnsi="Cambria" w:eastAsia="微软雅黑"/>
      <w:b/>
      <w:bCs/>
      <w:sz w:val="24"/>
      <w:szCs w:val="32"/>
    </w:rPr>
  </w:style>
  <w:style w:type="paragraph" w:styleId="5">
    <w:name w:val="heading 3"/>
    <w:basedOn w:val="1"/>
    <w:next w:val="1"/>
    <w:qFormat/>
    <w:uiPriority w:val="9"/>
    <w:pPr>
      <w:keepNext/>
      <w:keepLines/>
      <w:spacing w:before="260" w:after="260" w:line="416" w:lineRule="auto"/>
      <w:outlineLvl w:val="2"/>
    </w:pPr>
    <w:rPr>
      <w:b/>
      <w:bCs/>
      <w:sz w:val="28"/>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styleId="6">
    <w:name w:val="Normal Indent"/>
    <w:basedOn w:val="1"/>
    <w:qFormat/>
    <w:uiPriority w:val="0"/>
    <w:pPr>
      <w:adjustRightInd w:val="0"/>
      <w:snapToGrid w:val="0"/>
      <w:spacing w:line="300" w:lineRule="auto"/>
      <w:ind w:firstLine="200" w:firstLineChars="200"/>
    </w:pPr>
    <w:rPr>
      <w:rFonts w:ascii="华文新魏" w:eastAsia="华文新魏"/>
      <w:sz w:val="28"/>
    </w:rPr>
  </w:style>
  <w:style w:type="paragraph" w:styleId="7">
    <w:name w:val="annotation text"/>
    <w:basedOn w:val="1"/>
    <w:link w:val="47"/>
    <w:unhideWhenUsed/>
    <w:qFormat/>
    <w:uiPriority w:val="99"/>
    <w:pPr>
      <w:jc w:val="left"/>
    </w:pPr>
  </w:style>
  <w:style w:type="paragraph" w:styleId="8">
    <w:name w:val="Body Text"/>
    <w:basedOn w:val="1"/>
    <w:next w:val="9"/>
    <w:link w:val="54"/>
    <w:qFormat/>
    <w:uiPriority w:val="0"/>
    <w:pPr>
      <w:spacing w:after="120"/>
    </w:pPr>
    <w:rPr>
      <w:rFonts w:ascii="Calibri" w:hAnsi="Calibri"/>
      <w:szCs w:val="22"/>
    </w:rPr>
  </w:style>
  <w:style w:type="paragraph" w:customStyle="1" w:styleId="9">
    <w:name w:val="style4"/>
    <w:basedOn w:val="1"/>
    <w:next w:val="10"/>
    <w:qFormat/>
    <w:uiPriority w:val="0"/>
    <w:pPr>
      <w:widowControl/>
      <w:spacing w:before="280" w:after="280"/>
    </w:pPr>
    <w:rPr>
      <w:rFonts w:ascii="宋体"/>
      <w:sz w:val="18"/>
    </w:rPr>
  </w:style>
  <w:style w:type="paragraph" w:customStyle="1" w:styleId="10">
    <w:name w:val="2"/>
    <w:next w:val="1"/>
    <w:qFormat/>
    <w:uiPriority w:val="0"/>
    <w:pPr>
      <w:widowControl w:val="0"/>
      <w:jc w:val="both"/>
    </w:pPr>
    <w:rPr>
      <w:rFonts w:ascii="Calibri" w:hAnsi="Calibri" w:eastAsia="宋体" w:cs="Times New Roman"/>
      <w:sz w:val="21"/>
      <w:szCs w:val="22"/>
      <w:lang w:val="en-US" w:eastAsia="zh-CN" w:bidi="ar-SA"/>
    </w:rPr>
  </w:style>
  <w:style w:type="paragraph" w:styleId="11">
    <w:name w:val="Block Text"/>
    <w:basedOn w:val="1"/>
    <w:next w:val="8"/>
    <w:qFormat/>
    <w:uiPriority w:val="0"/>
    <w:pPr>
      <w:spacing w:after="120" w:afterLines="0"/>
      <w:ind w:left="1440" w:leftChars="700" w:right="1440" w:rightChars="700"/>
    </w:pPr>
    <w:rPr>
      <w:rFonts w:ascii="Times New Roman" w:hAnsi="Times New Roman" w:eastAsia="宋体" w:cs="Times New Roman"/>
    </w:rPr>
  </w:style>
  <w:style w:type="paragraph" w:styleId="12">
    <w:name w:val="Plain Text"/>
    <w:basedOn w:val="1"/>
    <w:qFormat/>
    <w:uiPriority w:val="0"/>
    <w:rPr>
      <w:rFonts w:ascii="宋体" w:hAnsi="Courier New" w:cs="Courier New"/>
      <w:szCs w:val="21"/>
    </w:rPr>
  </w:style>
  <w:style w:type="paragraph" w:styleId="13">
    <w:name w:val="Balloon Text"/>
    <w:basedOn w:val="1"/>
    <w:link w:val="37"/>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toc 1"/>
    <w:basedOn w:val="1"/>
    <w:next w:val="1"/>
    <w:qFormat/>
    <w:uiPriority w:val="39"/>
    <w:pPr>
      <w:tabs>
        <w:tab w:val="right" w:leader="dot" w:pos="8720"/>
      </w:tabs>
      <w:snapToGrid w:val="0"/>
      <w:spacing w:line="500" w:lineRule="exact"/>
    </w:pPr>
    <w:rPr>
      <w:rFonts w:ascii="黑体" w:hAnsi="黑体" w:eastAsia="黑体"/>
      <w:sz w:val="24"/>
    </w:rPr>
  </w:style>
  <w:style w:type="paragraph" w:styleId="17">
    <w:name w:val="toc 2"/>
    <w:basedOn w:val="1"/>
    <w:next w:val="1"/>
    <w:qFormat/>
    <w:uiPriority w:val="39"/>
    <w:pPr>
      <w:ind w:left="240"/>
      <w:jc w:val="left"/>
    </w:pPr>
    <w:rPr>
      <w:smallCaps/>
      <w:sz w:val="20"/>
      <w:szCs w:val="20"/>
    </w:rPr>
  </w:style>
  <w:style w:type="paragraph" w:styleId="18">
    <w:name w:val="Body Text 2"/>
    <w:basedOn w:val="1"/>
    <w:link w:val="55"/>
    <w:qFormat/>
    <w:uiPriority w:val="0"/>
    <w:rPr>
      <w:rFonts w:ascii="宋体" w:hAnsi="宋体"/>
      <w:color w:val="000000"/>
      <w:sz w:val="24"/>
      <w:szCs w:val="24"/>
    </w:rPr>
  </w:style>
  <w:style w:type="paragraph" w:styleId="1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szCs w:val="24"/>
    </w:rPr>
  </w:style>
  <w:style w:type="paragraph" w:styleId="20">
    <w:name w:val="annotation subject"/>
    <w:basedOn w:val="7"/>
    <w:next w:val="7"/>
    <w:link w:val="48"/>
    <w:unhideWhenUsed/>
    <w:qFormat/>
    <w:uiPriority w:val="99"/>
    <w:rPr>
      <w:b/>
      <w:bCs/>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FollowedHyperlink"/>
    <w:basedOn w:val="23"/>
    <w:unhideWhenUsed/>
    <w:qFormat/>
    <w:uiPriority w:val="99"/>
    <w:rPr>
      <w:color w:val="3F88BF"/>
      <w:u w:val="none"/>
    </w:rPr>
  </w:style>
  <w:style w:type="character" w:styleId="26">
    <w:name w:val="Emphasis"/>
    <w:basedOn w:val="23"/>
    <w:qFormat/>
    <w:uiPriority w:val="20"/>
  </w:style>
  <w:style w:type="character" w:styleId="27">
    <w:name w:val="HTML Definition"/>
    <w:basedOn w:val="23"/>
    <w:unhideWhenUsed/>
    <w:qFormat/>
    <w:uiPriority w:val="99"/>
  </w:style>
  <w:style w:type="character" w:styleId="28">
    <w:name w:val="HTML Variable"/>
    <w:basedOn w:val="23"/>
    <w:unhideWhenUsed/>
    <w:qFormat/>
    <w:uiPriority w:val="99"/>
  </w:style>
  <w:style w:type="character" w:styleId="29">
    <w:name w:val="Hyperlink"/>
    <w:basedOn w:val="23"/>
    <w:unhideWhenUsed/>
    <w:qFormat/>
    <w:uiPriority w:val="99"/>
    <w:rPr>
      <w:color w:val="3F88BF"/>
      <w:u w:val="none"/>
    </w:rPr>
  </w:style>
  <w:style w:type="character" w:styleId="30">
    <w:name w:val="HTML Code"/>
    <w:basedOn w:val="23"/>
    <w:unhideWhenUsed/>
    <w:qFormat/>
    <w:uiPriority w:val="99"/>
    <w:rPr>
      <w:rFonts w:hint="eastAsia" w:ascii="PingFang SC" w:hAnsi="PingFang SC" w:eastAsia="PingFang SC" w:cs="PingFang SC"/>
      <w:sz w:val="20"/>
    </w:rPr>
  </w:style>
  <w:style w:type="character" w:styleId="31">
    <w:name w:val="annotation reference"/>
    <w:basedOn w:val="23"/>
    <w:unhideWhenUsed/>
    <w:qFormat/>
    <w:uiPriority w:val="99"/>
    <w:rPr>
      <w:sz w:val="21"/>
      <w:szCs w:val="21"/>
    </w:rPr>
  </w:style>
  <w:style w:type="character" w:styleId="32">
    <w:name w:val="HTML Cite"/>
    <w:basedOn w:val="23"/>
    <w:unhideWhenUsed/>
    <w:qFormat/>
    <w:uiPriority w:val="99"/>
  </w:style>
  <w:style w:type="character" w:styleId="33">
    <w:name w:val="HTML Keyboard"/>
    <w:basedOn w:val="23"/>
    <w:unhideWhenUsed/>
    <w:qFormat/>
    <w:uiPriority w:val="99"/>
    <w:rPr>
      <w:rFonts w:hint="default" w:ascii="PingFang SC" w:hAnsi="PingFang SC" w:eastAsia="PingFang SC" w:cs="PingFang SC"/>
      <w:sz w:val="20"/>
    </w:rPr>
  </w:style>
  <w:style w:type="character" w:styleId="34">
    <w:name w:val="HTML Sample"/>
    <w:basedOn w:val="23"/>
    <w:unhideWhenUsed/>
    <w:qFormat/>
    <w:uiPriority w:val="99"/>
    <w:rPr>
      <w:rFonts w:hint="default" w:ascii="PingFang SC" w:hAnsi="PingFang SC" w:eastAsia="PingFang SC" w:cs="PingFang SC"/>
    </w:rPr>
  </w:style>
  <w:style w:type="character" w:customStyle="1" w:styleId="35">
    <w:name w:val="页眉 Char"/>
    <w:basedOn w:val="23"/>
    <w:link w:val="15"/>
    <w:qFormat/>
    <w:uiPriority w:val="99"/>
    <w:rPr>
      <w:sz w:val="18"/>
      <w:szCs w:val="18"/>
    </w:rPr>
  </w:style>
  <w:style w:type="character" w:customStyle="1" w:styleId="36">
    <w:name w:val="页脚 Char"/>
    <w:basedOn w:val="23"/>
    <w:link w:val="14"/>
    <w:qFormat/>
    <w:uiPriority w:val="99"/>
    <w:rPr>
      <w:sz w:val="18"/>
      <w:szCs w:val="18"/>
    </w:rPr>
  </w:style>
  <w:style w:type="character" w:customStyle="1" w:styleId="37">
    <w:name w:val="批注框文本 Char"/>
    <w:basedOn w:val="23"/>
    <w:link w:val="13"/>
    <w:semiHidden/>
    <w:qFormat/>
    <w:uiPriority w:val="99"/>
    <w:rPr>
      <w:rFonts w:ascii="Times New Roman" w:hAnsi="Times New Roman" w:eastAsia="宋体" w:cs="Times New Roman"/>
      <w:sz w:val="18"/>
      <w:szCs w:val="18"/>
    </w:rPr>
  </w:style>
  <w:style w:type="character" w:customStyle="1" w:styleId="38">
    <w:name w:val="release-day"/>
    <w:basedOn w:val="23"/>
    <w:qFormat/>
    <w:uiPriority w:val="0"/>
    <w:rPr>
      <w:bdr w:val="single" w:color="BDEBB0" w:sz="4" w:space="0"/>
      <w:shd w:val="clear" w:color="auto" w:fill="F5FFF1"/>
    </w:rPr>
  </w:style>
  <w:style w:type="character" w:customStyle="1" w:styleId="39">
    <w:name w:val="answer-title"/>
    <w:basedOn w:val="23"/>
    <w:qFormat/>
    <w:uiPriority w:val="0"/>
    <w:rPr>
      <w:color w:val="35B558"/>
      <w:sz w:val="22"/>
      <w:szCs w:val="22"/>
    </w:rPr>
  </w:style>
  <w:style w:type="character" w:customStyle="1" w:styleId="40">
    <w:name w:val="legend"/>
    <w:basedOn w:val="23"/>
    <w:qFormat/>
    <w:uiPriority w:val="0"/>
    <w:rPr>
      <w:rFonts w:ascii="Arial" w:hAnsi="Arial" w:cs="Arial"/>
      <w:b/>
      <w:color w:val="73B304"/>
      <w:sz w:val="14"/>
      <w:szCs w:val="14"/>
      <w:shd w:val="clear" w:color="auto" w:fill="FFFFFF"/>
    </w:rPr>
  </w:style>
  <w:style w:type="character" w:customStyle="1" w:styleId="41">
    <w:name w:val="num10"/>
    <w:basedOn w:val="23"/>
    <w:qFormat/>
    <w:uiPriority w:val="0"/>
    <w:rPr>
      <w:b/>
      <w:color w:val="FF7800"/>
    </w:rPr>
  </w:style>
  <w:style w:type="character" w:customStyle="1" w:styleId="42">
    <w:name w:val="answer-title12"/>
    <w:basedOn w:val="23"/>
    <w:qFormat/>
    <w:uiPriority w:val="0"/>
  </w:style>
  <w:style w:type="character" w:customStyle="1" w:styleId="43">
    <w:name w:val="num"/>
    <w:basedOn w:val="23"/>
    <w:qFormat/>
    <w:uiPriority w:val="0"/>
    <w:rPr>
      <w:b/>
      <w:color w:val="FF7800"/>
    </w:rPr>
  </w:style>
  <w:style w:type="character" w:customStyle="1" w:styleId="44">
    <w:name w:val="num5"/>
    <w:basedOn w:val="23"/>
    <w:qFormat/>
    <w:uiPriority w:val="0"/>
    <w:rPr>
      <w:b/>
      <w:color w:val="FF7800"/>
    </w:rPr>
  </w:style>
  <w:style w:type="character" w:customStyle="1" w:styleId="45">
    <w:name w:val="fontstrikethrough"/>
    <w:basedOn w:val="23"/>
    <w:qFormat/>
    <w:uiPriority w:val="0"/>
    <w:rPr>
      <w:strike/>
    </w:rPr>
  </w:style>
  <w:style w:type="character" w:customStyle="1" w:styleId="46">
    <w:name w:val="fontborder"/>
    <w:basedOn w:val="23"/>
    <w:qFormat/>
    <w:uiPriority w:val="0"/>
    <w:rPr>
      <w:bdr w:val="single" w:color="000000" w:sz="4" w:space="0"/>
    </w:rPr>
  </w:style>
  <w:style w:type="character" w:customStyle="1" w:styleId="47">
    <w:name w:val="批注文字 Char"/>
    <w:basedOn w:val="23"/>
    <w:link w:val="7"/>
    <w:semiHidden/>
    <w:qFormat/>
    <w:uiPriority w:val="99"/>
    <w:rPr>
      <w:kern w:val="2"/>
      <w:sz w:val="21"/>
    </w:rPr>
  </w:style>
  <w:style w:type="character" w:customStyle="1" w:styleId="48">
    <w:name w:val="批注主题 Char"/>
    <w:basedOn w:val="47"/>
    <w:link w:val="20"/>
    <w:semiHidden/>
    <w:qFormat/>
    <w:uiPriority w:val="99"/>
    <w:rPr>
      <w:b/>
      <w:bCs/>
      <w:kern w:val="2"/>
      <w:sz w:val="21"/>
    </w:rPr>
  </w:style>
  <w:style w:type="paragraph" w:customStyle="1" w:styleId="49">
    <w:name w:val="列出段落1"/>
    <w:basedOn w:val="1"/>
    <w:qFormat/>
    <w:uiPriority w:val="34"/>
    <w:pPr>
      <w:widowControl/>
      <w:spacing w:before="100" w:beforeAutospacing="1" w:after="100" w:afterAutospacing="1"/>
      <w:jc w:val="left"/>
    </w:pPr>
    <w:rPr>
      <w:rFonts w:ascii="宋体" w:hAnsi="宋体" w:cs="宋体"/>
      <w:kern w:val="0"/>
      <w:sz w:val="24"/>
      <w:szCs w:val="24"/>
    </w:rPr>
  </w:style>
  <w:style w:type="paragraph" w:customStyle="1" w:styleId="50">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1">
    <w:name w:val="apple-converted-space"/>
    <w:basedOn w:val="23"/>
    <w:qFormat/>
    <w:uiPriority w:val="0"/>
  </w:style>
  <w:style w:type="paragraph" w:styleId="52">
    <w:name w:val="List Paragraph"/>
    <w:basedOn w:val="1"/>
    <w:qFormat/>
    <w:uiPriority w:val="34"/>
    <w:pPr>
      <w:ind w:firstLine="420" w:firstLineChars="200"/>
    </w:pPr>
  </w:style>
  <w:style w:type="character" w:styleId="53">
    <w:name w:val="Placeholder Text"/>
    <w:basedOn w:val="23"/>
    <w:semiHidden/>
    <w:qFormat/>
    <w:uiPriority w:val="99"/>
    <w:rPr>
      <w:color w:val="808080"/>
    </w:rPr>
  </w:style>
  <w:style w:type="character" w:customStyle="1" w:styleId="54">
    <w:name w:val="正文文本 Char"/>
    <w:basedOn w:val="23"/>
    <w:link w:val="8"/>
    <w:qFormat/>
    <w:uiPriority w:val="0"/>
    <w:rPr>
      <w:rFonts w:ascii="Calibri" w:hAnsi="Calibri"/>
      <w:kern w:val="2"/>
      <w:sz w:val="21"/>
      <w:szCs w:val="22"/>
    </w:rPr>
  </w:style>
  <w:style w:type="character" w:customStyle="1" w:styleId="55">
    <w:name w:val="正文文本 2 Char"/>
    <w:basedOn w:val="23"/>
    <w:link w:val="18"/>
    <w:qFormat/>
    <w:uiPriority w:val="0"/>
    <w:rPr>
      <w:rFonts w:ascii="宋体" w:hAnsi="宋体"/>
      <w:color w:val="000000"/>
      <w:kern w:val="2"/>
      <w:sz w:val="24"/>
      <w:szCs w:val="24"/>
    </w:rPr>
  </w:style>
  <w:style w:type="paragraph" w:customStyle="1" w:styleId="56">
    <w:name w:val="表格"/>
    <w:basedOn w:val="1"/>
    <w:qFormat/>
    <w:uiPriority w:val="0"/>
    <w:pPr>
      <w:spacing w:beforeLines="0" w:line="400" w:lineRule="exact"/>
      <w:ind w:firstLine="0" w:firstLineChars="0"/>
      <w:jc w:val="center"/>
    </w:pPr>
    <w:rPr>
      <w:sz w:val="21"/>
    </w:rPr>
  </w:style>
  <w:style w:type="paragraph" w:customStyle="1" w:styleId="57">
    <w:name w:val="表中文字"/>
    <w:basedOn w:val="1"/>
    <w:qFormat/>
    <w:uiPriority w:val="0"/>
    <w:pPr>
      <w:snapToGrid w:val="0"/>
      <w:spacing w:line="400" w:lineRule="exact"/>
      <w:jc w:val="center"/>
    </w:pPr>
    <w:rPr>
      <w:rFonts w:ascii="Arial" w:hAnsi="Arial"/>
      <w:szCs w:val="20"/>
    </w:rPr>
  </w:style>
  <w:style w:type="paragraph" w:customStyle="1" w:styleId="58">
    <w:name w:val=" Char Char Char1 Char"/>
    <w:basedOn w:val="1"/>
    <w:qFormat/>
    <w:uiPriority w:val="0"/>
  </w:style>
  <w:style w:type="paragraph" w:customStyle="1" w:styleId="59">
    <w:name w:val="Other|1"/>
    <w:basedOn w:val="1"/>
    <w:qFormat/>
    <w:uiPriority w:val="0"/>
    <w:pPr>
      <w:widowControl w:val="0"/>
      <w:shd w:val="clear" w:color="auto" w:fill="auto"/>
      <w:jc w:val="center"/>
    </w:pPr>
    <w:rPr>
      <w:rFonts w:ascii="宋体" w:hAnsi="宋体" w:eastAsia="宋体" w:cs="宋体"/>
      <w:sz w:val="14"/>
      <w:szCs w:val="14"/>
      <w:u w:val="none"/>
      <w:shd w:val="clear" w:color="auto" w:fill="auto"/>
      <w:lang w:val="zh-TW" w:eastAsia="zh-TW" w:bidi="zh-TW"/>
    </w:rPr>
  </w:style>
  <w:style w:type="paragraph" w:customStyle="1" w:styleId="60">
    <w:name w:val="新标题样式"/>
    <w:basedOn w:val="1"/>
    <w:qFormat/>
    <w:uiPriority w:val="0"/>
    <w:pPr>
      <w:tabs>
        <w:tab w:val="left" w:pos="567"/>
      </w:tabs>
      <w:spacing w:line="360" w:lineRule="auto"/>
    </w:pPr>
    <w:rPr>
      <w:rFonts w:eastAsia="黑体"/>
      <w:b/>
      <w:spacing w:val="20"/>
      <w:sz w:val="24"/>
      <w:szCs w:val="20"/>
    </w:rPr>
  </w:style>
  <w:style w:type="paragraph" w:customStyle="1" w:styleId="61">
    <w:name w:val="Table Paragraph"/>
    <w:basedOn w:val="1"/>
    <w:qFormat/>
    <w:uiPriority w:val="1"/>
    <w:pPr>
      <w:jc w:val="center"/>
    </w:pPr>
    <w:rPr>
      <w:rFonts w:ascii="宋体" w:hAnsi="宋体" w:cs="宋体"/>
      <w:lang w:val="zh-CN" w:bidi="zh-CN"/>
    </w:rPr>
  </w:style>
  <w:style w:type="character" w:customStyle="1" w:styleId="62">
    <w:name w:val="font11"/>
    <w:basedOn w:val="23"/>
    <w:qFormat/>
    <w:uiPriority w:val="0"/>
    <w:rPr>
      <w:rFonts w:hint="eastAsia" w:ascii="宋体" w:hAnsi="宋体" w:eastAsia="宋体" w:cs="宋体"/>
      <w:color w:val="000000"/>
      <w:sz w:val="22"/>
      <w:szCs w:val="22"/>
      <w:u w:val="none"/>
    </w:rPr>
  </w:style>
  <w:style w:type="character" w:customStyle="1" w:styleId="63">
    <w:name w:val="正文文本 (2) + 粗体"/>
    <w:basedOn w:val="64"/>
    <w:qFormat/>
    <w:uiPriority w:val="99"/>
    <w:rPr>
      <w:b/>
      <w:bCs/>
      <w:spacing w:val="40"/>
    </w:rPr>
  </w:style>
  <w:style w:type="character" w:customStyle="1" w:styleId="64">
    <w:name w:val="正文文本 (2)_"/>
    <w:basedOn w:val="23"/>
    <w:link w:val="65"/>
    <w:qFormat/>
    <w:uiPriority w:val="99"/>
    <w:rPr>
      <w:rFonts w:ascii="微软雅黑" w:hAnsi="Calibri" w:eastAsia="微软雅黑" w:cs="微软雅黑"/>
      <w:spacing w:val="50"/>
      <w:sz w:val="30"/>
      <w:szCs w:val="30"/>
    </w:rPr>
  </w:style>
  <w:style w:type="paragraph" w:customStyle="1" w:styleId="65">
    <w:name w:val="正文文本 (2)"/>
    <w:basedOn w:val="1"/>
    <w:link w:val="64"/>
    <w:qFormat/>
    <w:uiPriority w:val="99"/>
    <w:pPr>
      <w:shd w:val="clear" w:color="auto" w:fill="FFFFFF"/>
      <w:spacing w:before="60" w:after="1200" w:line="240" w:lineRule="atLeast"/>
      <w:ind w:hanging="840"/>
      <w:jc w:val="center"/>
    </w:pPr>
    <w:rPr>
      <w:rFonts w:ascii="微软雅黑" w:hAnsi="Calibri" w:eastAsia="微软雅黑" w:cs="微软雅黑"/>
      <w:spacing w:val="50"/>
      <w:sz w:val="30"/>
      <w:szCs w:val="3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5C5101-BD9A-4A34-9C04-9492E3E4D2BE}">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10063</Words>
  <Characters>13375</Characters>
  <Lines>6</Lines>
  <Paragraphs>1</Paragraphs>
  <TotalTime>77</TotalTime>
  <ScaleCrop>false</ScaleCrop>
  <LinksUpToDate>false</LinksUpToDate>
  <CharactersWithSpaces>13789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2017-08-16T01:28:00Z</dcterms:created>
  <dc:creator>微软用户</dc:creator>
  <dc:description>1</dc:description>
  <cp:lastModifiedBy>user</cp:lastModifiedBy>
  <cp:lastPrinted>2019-07-06T02:58:00Z</cp:lastPrinted>
  <dcterms:modified xsi:type="dcterms:W3CDTF">2020-06-29T00:08:08Z</dcterms:modified>
  <cp:revision>192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