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276" w:lineRule="auto"/>
        <w:jc w:val="center"/>
        <w:rPr>
          <w:rFonts w:ascii="黑体" w:hAnsi="黑体" w:eastAsia="黑体"/>
          <w:b/>
          <w:sz w:val="28"/>
        </w:rPr>
      </w:pPr>
    </w:p>
    <w:p>
      <w:pPr>
        <w:spacing w:before="156" w:beforeLines="50" w:line="276" w:lineRule="auto"/>
        <w:jc w:val="center"/>
        <w:rPr>
          <w:rFonts w:ascii="黑体" w:hAnsi="黑体" w:eastAsia="黑体"/>
          <w:b/>
          <w:sz w:val="28"/>
        </w:rPr>
      </w:pPr>
    </w:p>
    <w:p>
      <w:pPr>
        <w:spacing w:before="156" w:beforeLines="50" w:line="360" w:lineRule="auto"/>
        <w:jc w:val="center"/>
        <w:rPr>
          <w:rFonts w:ascii="黑体" w:hAnsi="黑体" w:eastAsia="黑体"/>
          <w:b/>
          <w:sz w:val="28"/>
        </w:rPr>
      </w:pPr>
      <w:r>
        <w:rPr>
          <w:rFonts w:ascii="黑体" w:hAnsi="黑体" w:eastAsia="黑体"/>
          <w:b/>
          <w:sz w:val="28"/>
        </w:rPr>
        <w:drawing>
          <wp:inline distT="0" distB="0" distL="0" distR="0">
            <wp:extent cx="3183890" cy="1591945"/>
            <wp:effectExtent l="0" t="0" r="0" b="0"/>
            <wp:docPr id="4" name="图片 4" descr="C:\Users\YD-LH\源文件\Desktop\盈德气体集团新logo定-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D-LH\源文件\Desktop\盈德气体集团新logo定-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83890" cy="1591945"/>
                    </a:xfrm>
                    <a:prstGeom prst="rect">
                      <a:avLst/>
                    </a:prstGeom>
                    <a:noFill/>
                    <a:ln>
                      <a:noFill/>
                    </a:ln>
                  </pic:spPr>
                </pic:pic>
              </a:graphicData>
            </a:graphic>
          </wp:inline>
        </w:drawing>
      </w:r>
    </w:p>
    <w:p>
      <w:pPr>
        <w:spacing w:before="156" w:beforeLines="50" w:line="360" w:lineRule="auto"/>
        <w:jc w:val="center"/>
        <w:rPr>
          <w:rFonts w:ascii="黑体" w:hAnsi="黑体" w:eastAsia="黑体"/>
          <w:b/>
          <w:sz w:val="32"/>
        </w:rPr>
      </w:pPr>
      <w:r>
        <w:rPr>
          <w:rFonts w:hint="eastAsia" w:ascii="黑体" w:hAnsi="黑体" w:eastAsia="黑体"/>
          <w:b/>
          <w:sz w:val="32"/>
        </w:rPr>
        <w:t xml:space="preserve">安阳中盈化肥有限公司  </w:t>
      </w:r>
    </w:p>
    <w:p>
      <w:pPr>
        <w:spacing w:line="480" w:lineRule="auto"/>
        <w:jc w:val="center"/>
        <w:rPr>
          <w:rFonts w:ascii="黑体" w:hAnsi="黑体" w:eastAsia="黑体"/>
          <w:b/>
          <w:sz w:val="44"/>
          <w:szCs w:val="44"/>
        </w:rPr>
      </w:pPr>
      <w:r>
        <w:rPr>
          <w:rFonts w:hint="eastAsia" w:ascii="黑体" w:hAnsi="黑体" w:eastAsia="黑体"/>
          <w:b/>
          <w:sz w:val="44"/>
          <w:szCs w:val="44"/>
        </w:rPr>
        <w:t>202</w:t>
      </w:r>
      <w:r>
        <w:rPr>
          <w:rFonts w:hint="eastAsia" w:ascii="黑体" w:hAnsi="黑体" w:eastAsia="黑体"/>
          <w:b/>
          <w:sz w:val="44"/>
          <w:szCs w:val="44"/>
          <w:lang w:val="en-US" w:eastAsia="zh-CN"/>
        </w:rPr>
        <w:t>2</w:t>
      </w:r>
      <w:r>
        <w:rPr>
          <w:rFonts w:hint="eastAsia" w:ascii="黑体" w:hAnsi="黑体" w:eastAsia="黑体"/>
          <w:b/>
          <w:sz w:val="44"/>
          <w:szCs w:val="44"/>
        </w:rPr>
        <w:t>年度有毒有害物质排放情况报告</w:t>
      </w:r>
    </w:p>
    <w:p>
      <w:pPr>
        <w:spacing w:before="156" w:beforeLines="50" w:line="360" w:lineRule="auto"/>
        <w:jc w:val="center"/>
        <w:rPr>
          <w:rFonts w:ascii="黑体" w:hAnsi="黑体" w:eastAsia="黑体"/>
          <w:b/>
          <w:sz w:val="52"/>
        </w:rPr>
      </w:pPr>
    </w:p>
    <w:p>
      <w:pPr>
        <w:snapToGrid w:val="0"/>
        <w:spacing w:line="360" w:lineRule="auto"/>
        <w:jc w:val="center"/>
        <w:rPr>
          <w:rFonts w:ascii="黑体" w:hAnsi="黑体" w:eastAsia="黑体"/>
          <w:b/>
          <w:sz w:val="52"/>
        </w:rPr>
      </w:pPr>
    </w:p>
    <w:p>
      <w:pPr>
        <w:spacing w:before="156" w:beforeLines="50" w:line="276" w:lineRule="auto"/>
        <w:rPr>
          <w:rFonts w:ascii="黑体" w:hAnsi="黑体" w:eastAsia="黑体"/>
          <w:b/>
          <w:sz w:val="28"/>
        </w:rPr>
      </w:pPr>
      <w:r>
        <w:rPr>
          <w:rFonts w:hint="eastAsia" w:ascii="黑体" w:hAnsi="黑体" w:eastAsia="黑体"/>
          <w:b/>
          <w:sz w:val="52"/>
        </w:rPr>
        <w:t xml:space="preserve"> </w:t>
      </w:r>
    </w:p>
    <w:p>
      <w:pPr>
        <w:spacing w:before="156" w:beforeLines="50" w:line="276" w:lineRule="auto"/>
        <w:rPr>
          <w:rFonts w:ascii="黑体" w:hAnsi="黑体" w:eastAsia="黑体"/>
          <w:b/>
          <w:sz w:val="32"/>
          <w:szCs w:val="32"/>
        </w:rPr>
      </w:pPr>
    </w:p>
    <w:p>
      <w:pPr>
        <w:spacing w:line="360" w:lineRule="auto"/>
        <w:ind w:firstLine="2891" w:firstLineChars="900"/>
        <w:rPr>
          <w:rFonts w:ascii="黑体" w:hAnsi="黑体" w:eastAsia="黑体"/>
          <w:b/>
          <w:bCs/>
          <w:sz w:val="32"/>
          <w:szCs w:val="32"/>
          <w:u w:val="single"/>
        </w:rPr>
      </w:pPr>
      <w:r>
        <w:rPr>
          <w:rFonts w:hint="eastAsia" w:ascii="黑体" w:hAnsi="黑体" w:eastAsia="黑体"/>
          <w:b/>
          <w:bCs/>
          <w:sz w:val="32"/>
          <w:szCs w:val="32"/>
        </w:rPr>
        <w:t xml:space="preserve">编制： </w:t>
      </w:r>
      <w:r>
        <w:rPr>
          <w:rFonts w:hint="eastAsia" w:ascii="黑体" w:hAnsi="黑体" w:eastAsia="黑体"/>
          <w:b/>
          <w:bCs/>
          <w:sz w:val="32"/>
          <w:szCs w:val="32"/>
          <w:u w:val="single"/>
        </w:rPr>
        <w:t xml:space="preserve">  王志凯  </w:t>
      </w:r>
      <w:r>
        <w:rPr>
          <w:rFonts w:hint="eastAsia" w:ascii="黑体" w:hAnsi="黑体" w:eastAsia="黑体"/>
          <w:b/>
          <w:bCs/>
          <w:sz w:val="32"/>
          <w:szCs w:val="32"/>
          <w:u w:val="single"/>
          <w:lang w:val="en-US" w:eastAsia="zh-CN"/>
        </w:rPr>
        <w:t>陈君妍</w:t>
      </w:r>
      <w:r>
        <w:rPr>
          <w:rFonts w:hint="eastAsia" w:ascii="黑体" w:hAnsi="黑体" w:eastAsia="黑体"/>
          <w:b/>
          <w:bCs/>
          <w:sz w:val="32"/>
          <w:szCs w:val="32"/>
          <w:u w:val="single"/>
        </w:rPr>
        <w:t xml:space="preserve"> </w:t>
      </w:r>
    </w:p>
    <w:p>
      <w:pPr>
        <w:spacing w:line="360" w:lineRule="auto"/>
        <w:ind w:firstLine="2891" w:firstLineChars="900"/>
        <w:rPr>
          <w:rFonts w:ascii="黑体" w:hAnsi="黑体" w:eastAsia="黑体"/>
          <w:b/>
          <w:bCs/>
          <w:sz w:val="32"/>
          <w:szCs w:val="32"/>
        </w:rPr>
      </w:pPr>
      <w:r>
        <w:rPr>
          <w:rFonts w:hint="eastAsia" w:ascii="黑体" w:hAnsi="黑体" w:eastAsia="黑体"/>
          <w:b/>
          <w:bCs/>
          <w:sz w:val="32"/>
          <w:szCs w:val="32"/>
        </w:rPr>
        <w:t xml:space="preserve">审核： </w:t>
      </w:r>
      <w:r>
        <w:rPr>
          <w:rFonts w:hint="eastAsia" w:ascii="黑体" w:hAnsi="黑体" w:eastAsia="黑体"/>
          <w:b/>
          <w:bCs/>
          <w:sz w:val="32"/>
          <w:szCs w:val="32"/>
          <w:u w:val="single"/>
        </w:rPr>
        <w:t xml:space="preserve">  孟凡祖 </w:t>
      </w:r>
    </w:p>
    <w:p>
      <w:pPr>
        <w:pStyle w:val="4"/>
        <w:jc w:val="center"/>
        <w:rPr>
          <w:rFonts w:ascii="黑体" w:hAnsi="黑体" w:eastAsia="黑体"/>
          <w:b/>
          <w:bCs/>
          <w:sz w:val="32"/>
          <w:szCs w:val="32"/>
          <w:lang w:val="zh-CN"/>
        </w:rPr>
      </w:pPr>
    </w:p>
    <w:p>
      <w:pPr>
        <w:pStyle w:val="4"/>
        <w:jc w:val="center"/>
        <w:rPr>
          <w:rFonts w:ascii="黑体" w:hAnsi="黑体" w:eastAsia="黑体"/>
          <w:b/>
          <w:bCs/>
          <w:sz w:val="32"/>
          <w:szCs w:val="32"/>
          <w:lang w:val="zh-CN"/>
        </w:rPr>
      </w:pPr>
    </w:p>
    <w:p>
      <w:pPr>
        <w:pStyle w:val="4"/>
        <w:jc w:val="center"/>
        <w:rPr>
          <w:rFonts w:ascii="黑体" w:hAnsi="黑体" w:eastAsia="黑体"/>
          <w:b/>
          <w:bCs/>
          <w:sz w:val="32"/>
          <w:szCs w:val="32"/>
          <w:lang w:val="zh-CN"/>
        </w:rPr>
      </w:pPr>
      <w:r>
        <w:rPr>
          <w:rFonts w:hint="eastAsia" w:ascii="黑体" w:hAnsi="黑体" w:eastAsia="黑体"/>
          <w:b/>
          <w:bCs/>
          <w:sz w:val="32"/>
          <w:szCs w:val="32"/>
          <w:lang w:val="zh-CN"/>
        </w:rPr>
        <w:t>二零</w:t>
      </w:r>
      <w:r>
        <w:rPr>
          <w:rFonts w:hint="eastAsia" w:ascii="黑体" w:hAnsi="黑体" w:eastAsia="黑体"/>
          <w:b/>
          <w:bCs/>
          <w:sz w:val="32"/>
          <w:szCs w:val="32"/>
        </w:rPr>
        <w:t>二</w:t>
      </w:r>
      <w:r>
        <w:rPr>
          <w:rFonts w:hint="eastAsia" w:ascii="黑体" w:hAnsi="黑体" w:eastAsia="黑体"/>
          <w:b/>
          <w:bCs/>
          <w:sz w:val="32"/>
          <w:szCs w:val="32"/>
          <w:lang w:val="en-US" w:eastAsia="zh-CN"/>
        </w:rPr>
        <w:t>三</w:t>
      </w:r>
      <w:r>
        <w:rPr>
          <w:rFonts w:hint="eastAsia" w:ascii="黑体" w:hAnsi="黑体" w:eastAsia="黑体"/>
          <w:b/>
          <w:bCs/>
          <w:sz w:val="32"/>
          <w:szCs w:val="32"/>
          <w:lang w:val="zh-CN"/>
        </w:rPr>
        <w:t>年</w:t>
      </w:r>
      <w:r>
        <w:rPr>
          <w:rFonts w:hint="eastAsia" w:ascii="黑体" w:hAnsi="黑体" w:eastAsia="黑体"/>
          <w:b/>
          <w:bCs/>
          <w:sz w:val="32"/>
          <w:szCs w:val="32"/>
        </w:rPr>
        <w:t>二</w:t>
      </w:r>
      <w:r>
        <w:rPr>
          <w:rFonts w:hint="eastAsia" w:ascii="黑体" w:hAnsi="黑体" w:eastAsia="黑体"/>
          <w:b/>
          <w:bCs/>
          <w:sz w:val="32"/>
          <w:szCs w:val="32"/>
          <w:lang w:val="zh-CN"/>
        </w:rPr>
        <w:t>月</w:t>
      </w:r>
    </w:p>
    <w:p/>
    <w:sdt>
      <w:sdtPr>
        <w:rPr>
          <w:rFonts w:ascii="宋体" w:hAnsi="宋体"/>
          <w:sz w:val="28"/>
          <w:szCs w:val="28"/>
        </w:rPr>
        <w:id w:val="147458527"/>
        <w15:color w:val="DBDBDB"/>
        <w:docPartObj>
          <w:docPartGallery w:val="Table of Contents"/>
          <w:docPartUnique/>
        </w:docPartObj>
      </w:sdtPr>
      <w:sdtEndPr>
        <w:rPr>
          <w:rFonts w:hint="eastAsia" w:ascii="Times New Roman" w:hAnsi="Times New Roman"/>
          <w:b/>
          <w:bCs/>
          <w:sz w:val="21"/>
          <w:szCs w:val="44"/>
        </w:rPr>
      </w:sdtEndPr>
      <w:sdtContent>
        <w:p>
          <w:pPr>
            <w:pStyle w:val="2"/>
            <w:spacing w:after="0" w:line="520" w:lineRule="exact"/>
            <w:ind w:left="0" w:leftChars="0" w:right="0" w:rightChars="0"/>
            <w:jc w:val="center"/>
            <w:rPr>
              <w:rFonts w:ascii="宋体" w:hAnsi="宋体"/>
              <w:sz w:val="28"/>
              <w:szCs w:val="28"/>
            </w:rPr>
          </w:pPr>
          <w:bookmarkStart w:id="0" w:name="_Toc3269"/>
          <w:r>
            <w:rPr>
              <w:rFonts w:hint="eastAsia" w:ascii="微软雅黑" w:hAnsi="微软雅黑" w:eastAsia="微软雅黑" w:cs="微软雅黑"/>
              <w:sz w:val="28"/>
              <w:szCs w:val="28"/>
            </w:rPr>
            <w:t>目   录</w:t>
          </w:r>
        </w:p>
        <w:p>
          <w:pPr>
            <w:pStyle w:val="15"/>
            <w:tabs>
              <w:tab w:val="right" w:leader="dot" w:pos="8306"/>
              <w:tab w:val="clear" w:pos="8720"/>
            </w:tabs>
          </w:pPr>
          <w:r>
            <w:rPr>
              <w:rFonts w:hint="eastAsia" w:ascii="微软雅黑" w:hAnsi="微软雅黑" w:eastAsia="微软雅黑" w:cs="微软雅黑"/>
              <w:b/>
              <w:bCs/>
              <w:sz w:val="21"/>
              <w:szCs w:val="21"/>
            </w:rPr>
            <w:fldChar w:fldCharType="begin"/>
          </w:r>
          <w:r>
            <w:rPr>
              <w:rFonts w:hint="eastAsia" w:ascii="微软雅黑" w:hAnsi="微软雅黑" w:eastAsia="微软雅黑" w:cs="微软雅黑"/>
              <w:b/>
              <w:bCs/>
              <w:sz w:val="21"/>
              <w:szCs w:val="21"/>
            </w:rPr>
            <w:instrText xml:space="preserve">TOC \o "1-2" \h \u </w:instrText>
          </w:r>
          <w:r>
            <w:rPr>
              <w:rFonts w:hint="eastAsia" w:ascii="微软雅黑" w:hAnsi="微软雅黑" w:eastAsia="微软雅黑" w:cs="微软雅黑"/>
              <w:b/>
              <w:bCs/>
              <w:sz w:val="21"/>
              <w:szCs w:val="21"/>
            </w:rPr>
            <w:fldChar w:fldCharType="separate"/>
          </w:r>
          <w:r>
            <w:fldChar w:fldCharType="begin"/>
          </w:r>
          <w:r>
            <w:instrText xml:space="preserve"> HYPERLINK \l "_Toc31368" </w:instrText>
          </w:r>
          <w:r>
            <w:fldChar w:fldCharType="separate"/>
          </w:r>
          <w:r>
            <w:rPr>
              <w:rFonts w:hint="eastAsia"/>
            </w:rPr>
            <w:t>1 前言</w:t>
          </w:r>
          <w:r>
            <w:tab/>
          </w:r>
          <w:r>
            <w:fldChar w:fldCharType="end"/>
          </w:r>
        </w:p>
        <w:p>
          <w:pPr>
            <w:pStyle w:val="15"/>
            <w:tabs>
              <w:tab w:val="right" w:leader="dot" w:pos="8306"/>
              <w:tab w:val="clear" w:pos="8720"/>
            </w:tabs>
          </w:pPr>
          <w:r>
            <w:fldChar w:fldCharType="begin"/>
          </w:r>
          <w:r>
            <w:instrText xml:space="preserve"> HYPERLINK \l "_Toc5300" </w:instrText>
          </w:r>
          <w:r>
            <w:fldChar w:fldCharType="separate"/>
          </w:r>
          <w:r>
            <w:rPr>
              <w:rFonts w:hint="eastAsia" w:ascii="Times New Roman" w:hAnsi="Times New Roman"/>
              <w:szCs w:val="22"/>
            </w:rPr>
            <w:t>2 编制依据</w:t>
          </w:r>
          <w:r>
            <w:tab/>
          </w:r>
          <w:r>
            <w:fldChar w:fldCharType="end"/>
          </w:r>
        </w:p>
        <w:p>
          <w:pPr>
            <w:pStyle w:val="16"/>
            <w:tabs>
              <w:tab w:val="right" w:leader="dot" w:pos="8306"/>
            </w:tabs>
          </w:pPr>
          <w:r>
            <w:fldChar w:fldCharType="begin"/>
          </w:r>
          <w:r>
            <w:instrText xml:space="preserve"> HYPERLINK \l "_Toc27687" </w:instrText>
          </w:r>
          <w:r>
            <w:fldChar w:fldCharType="separate"/>
          </w:r>
          <w:r>
            <w:rPr>
              <w:rFonts w:hint="eastAsia"/>
            </w:rPr>
            <w:t>2.1 法律法规及文件</w:t>
          </w:r>
          <w:r>
            <w:tab/>
          </w:r>
          <w:r>
            <w:fldChar w:fldCharType="end"/>
          </w:r>
        </w:p>
        <w:p>
          <w:pPr>
            <w:pStyle w:val="16"/>
            <w:tabs>
              <w:tab w:val="right" w:leader="dot" w:pos="8306"/>
            </w:tabs>
          </w:pPr>
          <w:r>
            <w:fldChar w:fldCharType="begin"/>
          </w:r>
          <w:r>
            <w:instrText xml:space="preserve"> HYPERLINK \l "_Toc32154" </w:instrText>
          </w:r>
          <w:r>
            <w:fldChar w:fldCharType="separate"/>
          </w:r>
          <w:r>
            <w:rPr>
              <w:rFonts w:hint="eastAsia"/>
            </w:rPr>
            <w:t>2.2 标准及规范</w:t>
          </w:r>
          <w:r>
            <w:tab/>
          </w:r>
          <w:r>
            <w:fldChar w:fldCharType="end"/>
          </w:r>
        </w:p>
        <w:p>
          <w:pPr>
            <w:pStyle w:val="16"/>
            <w:tabs>
              <w:tab w:val="right" w:leader="dot" w:pos="8306"/>
            </w:tabs>
          </w:pPr>
          <w:r>
            <w:fldChar w:fldCharType="begin"/>
          </w:r>
          <w:r>
            <w:instrText xml:space="preserve"> HYPERLINK \l "_Toc9422" </w:instrText>
          </w:r>
          <w:r>
            <w:fldChar w:fldCharType="separate"/>
          </w:r>
          <w:r>
            <w:rPr>
              <w:rFonts w:hint="eastAsia"/>
            </w:rPr>
            <w:t>2.3 技术指南</w:t>
          </w:r>
          <w:r>
            <w:tab/>
          </w:r>
          <w:r>
            <w:fldChar w:fldCharType="end"/>
          </w:r>
        </w:p>
        <w:p>
          <w:pPr>
            <w:pStyle w:val="15"/>
            <w:tabs>
              <w:tab w:val="right" w:leader="dot" w:pos="8306"/>
              <w:tab w:val="clear" w:pos="8720"/>
            </w:tabs>
          </w:pPr>
          <w:r>
            <w:fldChar w:fldCharType="begin"/>
          </w:r>
          <w:r>
            <w:instrText xml:space="preserve"> HYPERLINK \l "_Toc29628" </w:instrText>
          </w:r>
          <w:r>
            <w:fldChar w:fldCharType="separate"/>
          </w:r>
          <w:r>
            <w:rPr>
              <w:rFonts w:ascii="Times New Roman" w:hAnsi="Times New Roman"/>
              <w:szCs w:val="22"/>
            </w:rPr>
            <w:t>3 企业基本</w:t>
          </w:r>
          <w:r>
            <w:rPr>
              <w:rFonts w:hint="eastAsia" w:ascii="Times New Roman" w:hAnsi="Times New Roman"/>
              <w:szCs w:val="22"/>
            </w:rPr>
            <w:t>情况</w:t>
          </w:r>
          <w:r>
            <w:tab/>
          </w:r>
          <w:r>
            <w:fldChar w:fldCharType="end"/>
          </w:r>
        </w:p>
        <w:p>
          <w:pPr>
            <w:pStyle w:val="16"/>
            <w:tabs>
              <w:tab w:val="right" w:leader="dot" w:pos="8306"/>
            </w:tabs>
          </w:pPr>
          <w:r>
            <w:fldChar w:fldCharType="begin"/>
          </w:r>
          <w:r>
            <w:instrText xml:space="preserve"> HYPERLINK \l "_Toc29630" </w:instrText>
          </w:r>
          <w:r>
            <w:fldChar w:fldCharType="separate"/>
          </w:r>
          <w:r>
            <w:t>3</w:t>
          </w:r>
          <w:r>
            <w:rPr>
              <w:rFonts w:hint="eastAsia"/>
            </w:rPr>
            <w:t xml:space="preserve">.1 </w:t>
          </w:r>
          <w:r>
            <w:t>企业基本信息</w:t>
          </w:r>
          <w:r>
            <w:tab/>
          </w:r>
          <w:r>
            <w:fldChar w:fldCharType="end"/>
          </w:r>
        </w:p>
        <w:p>
          <w:pPr>
            <w:pStyle w:val="16"/>
            <w:tabs>
              <w:tab w:val="right" w:leader="dot" w:pos="8306"/>
            </w:tabs>
          </w:pPr>
          <w:r>
            <w:fldChar w:fldCharType="begin"/>
          </w:r>
          <w:r>
            <w:instrText xml:space="preserve"> HYPERLINK \l "_Toc15874" </w:instrText>
          </w:r>
          <w:r>
            <w:fldChar w:fldCharType="separate"/>
          </w:r>
          <w:r>
            <w:rPr>
              <w:rFonts w:hint="eastAsia"/>
            </w:rPr>
            <w:t>3.2 企业平面布置</w:t>
          </w:r>
          <w:r>
            <w:tab/>
          </w:r>
          <w:r>
            <w:fldChar w:fldCharType="end"/>
          </w:r>
        </w:p>
        <w:p>
          <w:pPr>
            <w:pStyle w:val="16"/>
            <w:tabs>
              <w:tab w:val="right" w:leader="dot" w:pos="8306"/>
            </w:tabs>
          </w:pPr>
          <w:r>
            <w:fldChar w:fldCharType="begin"/>
          </w:r>
          <w:r>
            <w:instrText xml:space="preserve"> HYPERLINK \l "_Toc3654" </w:instrText>
          </w:r>
          <w:r>
            <w:fldChar w:fldCharType="separate"/>
          </w:r>
          <w:r>
            <w:rPr>
              <w:rFonts w:hint="eastAsia"/>
            </w:rPr>
            <w:t>3.3</w:t>
          </w:r>
          <w:r>
            <w:t>自然环境概况</w:t>
          </w:r>
          <w:r>
            <w:tab/>
          </w:r>
          <w:r>
            <w:fldChar w:fldCharType="end"/>
          </w:r>
        </w:p>
        <w:p>
          <w:pPr>
            <w:pStyle w:val="16"/>
            <w:tabs>
              <w:tab w:val="right" w:leader="dot" w:pos="8306"/>
            </w:tabs>
          </w:pPr>
          <w:r>
            <w:fldChar w:fldCharType="begin"/>
          </w:r>
          <w:r>
            <w:instrText xml:space="preserve"> HYPERLINK \l "_Toc9852" </w:instrText>
          </w:r>
          <w:r>
            <w:fldChar w:fldCharType="separate"/>
          </w:r>
          <w:r>
            <w:rPr>
              <w:rFonts w:hint="eastAsia"/>
            </w:rPr>
            <w:t>3.4 生产工艺、设备及污染防治措施</w:t>
          </w:r>
          <w:r>
            <w:tab/>
          </w:r>
          <w:r>
            <w:fldChar w:fldCharType="end"/>
          </w:r>
        </w:p>
        <w:p>
          <w:pPr>
            <w:pStyle w:val="16"/>
            <w:tabs>
              <w:tab w:val="right" w:leader="dot" w:pos="8306"/>
            </w:tabs>
          </w:pPr>
          <w:r>
            <w:fldChar w:fldCharType="begin"/>
          </w:r>
          <w:r>
            <w:instrText xml:space="preserve"> HYPERLINK \l "_Toc16457" </w:instrText>
          </w:r>
          <w:r>
            <w:fldChar w:fldCharType="separate"/>
          </w:r>
          <w:r>
            <w:t>3.5 生产工艺流程简介</w:t>
          </w:r>
          <w:r>
            <w:tab/>
          </w:r>
          <w:r>
            <w:fldChar w:fldCharType="end"/>
          </w:r>
        </w:p>
        <w:p>
          <w:pPr>
            <w:pStyle w:val="16"/>
            <w:tabs>
              <w:tab w:val="right" w:leader="dot" w:pos="8306"/>
            </w:tabs>
          </w:pPr>
          <w:r>
            <w:fldChar w:fldCharType="begin"/>
          </w:r>
          <w:r>
            <w:instrText xml:space="preserve"> HYPERLINK \l "_Toc4934" </w:instrText>
          </w:r>
          <w:r>
            <w:fldChar w:fldCharType="separate"/>
          </w:r>
          <w:r>
            <w:rPr>
              <w:rFonts w:hint="eastAsia"/>
            </w:rPr>
            <w:t>3.6 “三废”</w:t>
          </w:r>
          <w:r>
            <w:t>的产生</w:t>
          </w:r>
          <w:r>
            <w:rPr>
              <w:rFonts w:hint="eastAsia"/>
            </w:rPr>
            <w:t>情况</w:t>
          </w:r>
          <w:r>
            <w:t>及治理措施</w:t>
          </w:r>
          <w:r>
            <w:tab/>
          </w:r>
          <w:r>
            <w:fldChar w:fldCharType="end"/>
          </w:r>
        </w:p>
        <w:p>
          <w:pPr>
            <w:pStyle w:val="15"/>
            <w:tabs>
              <w:tab w:val="right" w:leader="dot" w:pos="8306"/>
              <w:tab w:val="clear" w:pos="8720"/>
            </w:tabs>
          </w:pPr>
          <w:r>
            <w:fldChar w:fldCharType="begin"/>
          </w:r>
          <w:r>
            <w:instrText xml:space="preserve"> HYPERLINK \l "_Toc8719" </w:instrText>
          </w:r>
          <w:r>
            <w:fldChar w:fldCharType="separate"/>
          </w:r>
          <w:r>
            <w:rPr>
              <w:rFonts w:hint="eastAsia" w:ascii="Times New Roman" w:hAnsi="Times New Roman"/>
              <w:szCs w:val="22"/>
            </w:rPr>
            <w:t>4 自行监测方案及结果分析</w:t>
          </w:r>
          <w:r>
            <w:tab/>
          </w:r>
          <w:r>
            <w:fldChar w:fldCharType="end"/>
          </w:r>
        </w:p>
        <w:p>
          <w:pPr>
            <w:pStyle w:val="16"/>
            <w:tabs>
              <w:tab w:val="right" w:leader="dot" w:pos="8306"/>
            </w:tabs>
          </w:pPr>
          <w:r>
            <w:fldChar w:fldCharType="begin"/>
          </w:r>
          <w:r>
            <w:instrText xml:space="preserve"> HYPERLINK \l "_Toc25510" </w:instrText>
          </w:r>
          <w:r>
            <w:fldChar w:fldCharType="separate"/>
          </w:r>
          <w:r>
            <w:rPr>
              <w:rFonts w:hint="eastAsia"/>
            </w:rPr>
            <w:t>4.1 自行监测方案</w:t>
          </w:r>
          <w:r>
            <w:tab/>
          </w:r>
          <w:r>
            <w:fldChar w:fldCharType="end"/>
          </w:r>
        </w:p>
        <w:p>
          <w:pPr>
            <w:pStyle w:val="16"/>
            <w:tabs>
              <w:tab w:val="right" w:leader="dot" w:pos="8306"/>
            </w:tabs>
          </w:pPr>
          <w:r>
            <w:fldChar w:fldCharType="begin"/>
          </w:r>
          <w:r>
            <w:instrText xml:space="preserve"> HYPERLINK \l "_Toc1404" </w:instrText>
          </w:r>
          <w:r>
            <w:fldChar w:fldCharType="separate"/>
          </w:r>
          <w:r>
            <w:rPr>
              <w:rFonts w:hint="eastAsia"/>
            </w:rPr>
            <w:t>4.2监测点及监测项目统计一览表</w:t>
          </w:r>
          <w:r>
            <w:tab/>
          </w:r>
          <w:r>
            <w:fldChar w:fldCharType="end"/>
          </w:r>
        </w:p>
        <w:p>
          <w:pPr>
            <w:pStyle w:val="16"/>
            <w:tabs>
              <w:tab w:val="right" w:leader="dot" w:pos="8306"/>
            </w:tabs>
          </w:pPr>
          <w:r>
            <w:fldChar w:fldCharType="begin"/>
          </w:r>
          <w:r>
            <w:instrText xml:space="preserve"> HYPERLINK \l "_Toc6870" </w:instrText>
          </w:r>
          <w:r>
            <w:fldChar w:fldCharType="separate"/>
          </w:r>
          <w:r>
            <w:rPr>
              <w:rFonts w:hint="eastAsia"/>
            </w:rPr>
            <w:t>4.3监测方法</w:t>
          </w:r>
          <w:r>
            <w:tab/>
          </w:r>
          <w:r>
            <w:fldChar w:fldCharType="end"/>
          </w:r>
        </w:p>
        <w:p>
          <w:pPr>
            <w:pStyle w:val="16"/>
            <w:tabs>
              <w:tab w:val="right" w:leader="dot" w:pos="8306"/>
            </w:tabs>
          </w:pPr>
          <w:r>
            <w:fldChar w:fldCharType="begin"/>
          </w:r>
          <w:r>
            <w:instrText xml:space="preserve"> HYPERLINK \l "_Toc7716" </w:instrText>
          </w:r>
          <w:r>
            <w:fldChar w:fldCharType="separate"/>
          </w:r>
          <w:r>
            <w:rPr>
              <w:rFonts w:hint="eastAsia"/>
            </w:rPr>
            <w:t>4.4 监测结果分析</w:t>
          </w:r>
          <w:r>
            <w:tab/>
          </w:r>
          <w:r>
            <w:fldChar w:fldCharType="end"/>
          </w:r>
        </w:p>
        <w:p>
          <w:pPr>
            <w:pStyle w:val="15"/>
            <w:tabs>
              <w:tab w:val="right" w:leader="dot" w:pos="8306"/>
              <w:tab w:val="clear" w:pos="8720"/>
            </w:tabs>
          </w:pPr>
          <w:r>
            <w:fldChar w:fldCharType="begin"/>
          </w:r>
          <w:r>
            <w:instrText xml:space="preserve"> HYPERLINK \l "_Toc28247" </w:instrText>
          </w:r>
          <w:r>
            <w:fldChar w:fldCharType="separate"/>
          </w:r>
          <w:r>
            <w:rPr>
              <w:rFonts w:hint="eastAsia" w:ascii="Times New Roman" w:hAnsi="Times New Roman"/>
              <w:szCs w:val="22"/>
            </w:rPr>
            <w:t>5 污染物排放情况</w:t>
          </w:r>
          <w:r>
            <w:tab/>
          </w:r>
          <w:r>
            <w:fldChar w:fldCharType="end"/>
          </w:r>
        </w:p>
        <w:p>
          <w:pPr>
            <w:pStyle w:val="16"/>
            <w:tabs>
              <w:tab w:val="right" w:leader="dot" w:pos="8306"/>
            </w:tabs>
          </w:pPr>
          <w:r>
            <w:fldChar w:fldCharType="begin"/>
          </w:r>
          <w:r>
            <w:instrText xml:space="preserve"> HYPERLINK \l "_Toc17108" </w:instrText>
          </w:r>
          <w:r>
            <w:fldChar w:fldCharType="separate"/>
          </w:r>
          <w:r>
            <w:rPr>
              <w:rFonts w:hint="eastAsia"/>
            </w:rPr>
            <w:t>5.1 废水</w:t>
          </w:r>
          <w:r>
            <w:tab/>
          </w:r>
          <w:r>
            <w:fldChar w:fldCharType="end"/>
          </w:r>
        </w:p>
        <w:p>
          <w:pPr>
            <w:pStyle w:val="16"/>
            <w:tabs>
              <w:tab w:val="right" w:leader="dot" w:pos="8306"/>
            </w:tabs>
          </w:pPr>
          <w:r>
            <w:fldChar w:fldCharType="begin"/>
          </w:r>
          <w:r>
            <w:instrText xml:space="preserve"> HYPERLINK \l "_Toc23684" </w:instrText>
          </w:r>
          <w:r>
            <w:fldChar w:fldCharType="separate"/>
          </w:r>
          <w:r>
            <w:t>5.</w:t>
          </w:r>
          <w:r>
            <w:rPr>
              <w:rFonts w:hint="eastAsia"/>
            </w:rPr>
            <w:t>2</w:t>
          </w:r>
          <w:r>
            <w:t>废气</w:t>
          </w:r>
          <w:r>
            <w:tab/>
          </w:r>
          <w:r>
            <w:fldChar w:fldCharType="end"/>
          </w:r>
        </w:p>
        <w:p>
          <w:pPr>
            <w:pStyle w:val="16"/>
            <w:tabs>
              <w:tab w:val="right" w:leader="dot" w:pos="8306"/>
            </w:tabs>
          </w:pPr>
          <w:r>
            <w:fldChar w:fldCharType="begin"/>
          </w:r>
          <w:r>
            <w:instrText xml:space="preserve"> HYPERLINK \l "_Toc19112" </w:instrText>
          </w:r>
          <w:r>
            <w:fldChar w:fldCharType="separate"/>
          </w:r>
          <w:r>
            <w:t>5.</w:t>
          </w:r>
          <w:r>
            <w:rPr>
              <w:rFonts w:hint="eastAsia"/>
            </w:rPr>
            <w:t>3</w:t>
          </w:r>
          <w:r>
            <w:t xml:space="preserve"> 固废</w:t>
          </w:r>
          <w:r>
            <w:tab/>
          </w:r>
          <w:r>
            <w:fldChar w:fldCharType="end"/>
          </w:r>
        </w:p>
        <w:p>
          <w:pPr>
            <w:pStyle w:val="16"/>
            <w:tabs>
              <w:tab w:val="right" w:leader="dot" w:pos="8306"/>
            </w:tabs>
          </w:pPr>
          <w:r>
            <w:fldChar w:fldCharType="begin"/>
          </w:r>
          <w:r>
            <w:instrText xml:space="preserve"> HYPERLINK \l "_Toc30167" </w:instrText>
          </w:r>
          <w:r>
            <w:fldChar w:fldCharType="separate"/>
          </w:r>
          <w:r>
            <w:rPr>
              <w:rFonts w:hint="eastAsia"/>
            </w:rPr>
            <w:t>5.4 结论</w:t>
          </w:r>
          <w:r>
            <w:tab/>
          </w:r>
          <w:r>
            <w:fldChar w:fldCharType="end"/>
          </w:r>
        </w:p>
        <w:p>
          <w:pPr>
            <w:pStyle w:val="16"/>
            <w:tabs>
              <w:tab w:val="right" w:leader="dot" w:pos="8306"/>
            </w:tabs>
          </w:pPr>
          <w:r>
            <w:fldChar w:fldCharType="begin"/>
          </w:r>
          <w:r>
            <w:instrText xml:space="preserve"> HYPERLINK \l "_Toc8230" </w:instrText>
          </w:r>
          <w:r>
            <w:fldChar w:fldCharType="separate"/>
          </w:r>
          <w:r>
            <w:rPr>
              <w:rFonts w:hint="eastAsia"/>
            </w:rPr>
            <w:t>附图1：厂区平面布置图</w:t>
          </w:r>
          <w:r>
            <w:tab/>
          </w:r>
          <w:r>
            <w:fldChar w:fldCharType="end"/>
          </w:r>
        </w:p>
        <w:p>
          <w:pPr>
            <w:pStyle w:val="2"/>
            <w:spacing w:after="0" w:line="480" w:lineRule="exact"/>
            <w:ind w:left="0" w:leftChars="0" w:right="0" w:rightChars="0"/>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微软雅黑" w:hAnsi="微软雅黑" w:eastAsia="微软雅黑" w:cs="微软雅黑"/>
              <w:bCs/>
              <w:szCs w:val="21"/>
            </w:rPr>
            <w:fldChar w:fldCharType="end"/>
          </w:r>
        </w:p>
      </w:sdtContent>
    </w:sdt>
    <w:p>
      <w:pPr>
        <w:pStyle w:val="6"/>
      </w:pPr>
      <w:bookmarkStart w:id="1" w:name="_Toc31368"/>
      <w:r>
        <w:rPr>
          <w:rFonts w:hint="eastAsia"/>
        </w:rPr>
        <w:t>1 前言</w:t>
      </w:r>
      <w:bookmarkEnd w:id="0"/>
      <w:bookmarkEnd w:id="1"/>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根据《中华人民共和国土壤污染防治法》要求，土壤重点监管单位应严格控制有毒有害物质排放，并按年度向生态环境主管部门报告排放情况。据此，结合本公司实际，编制本报告。</w:t>
      </w:r>
    </w:p>
    <w:p>
      <w:pPr>
        <w:pStyle w:val="6"/>
        <w:rPr>
          <w:szCs w:val="22"/>
        </w:rPr>
      </w:pPr>
      <w:bookmarkStart w:id="2" w:name="_Toc5300"/>
      <w:bookmarkStart w:id="3" w:name="_Toc20039"/>
      <w:r>
        <w:rPr>
          <w:rFonts w:hint="eastAsia"/>
          <w:szCs w:val="22"/>
        </w:rPr>
        <w:t>2 编制依据</w:t>
      </w:r>
      <w:bookmarkEnd w:id="2"/>
      <w:bookmarkEnd w:id="3"/>
      <w:bookmarkStart w:id="4" w:name="_Toc6393_WPSOffice_Level2"/>
      <w:bookmarkStart w:id="5" w:name="_Toc27453_WPSOffice_Level2"/>
      <w:bookmarkStart w:id="6" w:name="_Toc13866_WPSOffice_Level2"/>
    </w:p>
    <w:p>
      <w:pPr>
        <w:pStyle w:val="7"/>
      </w:pPr>
      <w:bookmarkStart w:id="7" w:name="_Toc11105"/>
      <w:bookmarkStart w:id="8" w:name="_Toc27687"/>
      <w:r>
        <w:rPr>
          <w:rFonts w:hint="eastAsia"/>
        </w:rPr>
        <w:t>2.1 法律法规及文件</w:t>
      </w:r>
      <w:bookmarkEnd w:id="4"/>
      <w:bookmarkEnd w:id="5"/>
      <w:bookmarkEnd w:id="6"/>
      <w:bookmarkEnd w:id="7"/>
      <w:bookmarkEnd w:id="8"/>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（1）《中华人民共和国环境保护法》 （2015年1月1日）；</w:t>
      </w:r>
    </w:p>
    <w:p>
      <w:pPr>
        <w:pStyle w:val="2"/>
        <w:spacing w:after="0" w:line="276" w:lineRule="auto"/>
        <w:ind w:left="0" w:leftChars="0" w:right="0" w:rightChars="0"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（2）《中华人民共和国土壤污染防治法》 （2019年1月1日）；</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（3）《土壤污染防治行动计划》 （国发〔2016〕31号）；</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（4）《河南省清洁土壤行动计划》 （豫政 〔2017〕13号）；</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（5）《河南省人民政府关于印发河南省污染防治攻坚战三年行动计划(2018—2020年)的通知》 （豫政〔2018〕30号）；</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（6）《河南省环境保护厅办公室关于做好土壤环境重点监管企业及周边土壤环境监测工作的通知》 （豫环办〔2018〕66号）；</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（7）关于印发《重点排污单位名录管理规定（试行）》的通知 （环办监测〔2017〕86号））；</w:t>
      </w:r>
    </w:p>
    <w:p>
      <w:pPr>
        <w:spacing w:line="276" w:lineRule="auto"/>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（8）《土壤环境质量建设用地土壤污染风险管控标准 （试行）》（GB 36600-2018）。</w:t>
      </w:r>
    </w:p>
    <w:p>
      <w:pPr>
        <w:pStyle w:val="7"/>
      </w:pPr>
      <w:bookmarkStart w:id="9" w:name="_Toc31732_WPSOffice_Level2"/>
      <w:bookmarkStart w:id="10" w:name="_Toc8985_WPSOffice_Level2"/>
      <w:bookmarkStart w:id="11" w:name="_Toc30754_WPSOffice_Level2"/>
      <w:bookmarkStart w:id="12" w:name="_Toc1435"/>
      <w:bookmarkStart w:id="13" w:name="_Toc32154"/>
      <w:r>
        <w:rPr>
          <w:rFonts w:hint="eastAsia"/>
        </w:rPr>
        <w:t>2.2 标准及规范</w:t>
      </w:r>
      <w:bookmarkEnd w:id="9"/>
      <w:bookmarkEnd w:id="10"/>
      <w:bookmarkEnd w:id="11"/>
      <w:bookmarkEnd w:id="12"/>
      <w:bookmarkEnd w:id="13"/>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（1）《场地环境调查技术规范》（HJ25.1-2014）；</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（2）《场地环境监测技术导则》（HJ25.2-2014）；</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（3）《土壤环境监测技术规范》（HJ/T166-2004）；</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（4）《地下水环境监测技术规范》（HJ/T164-2004）；</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（5）《土壤环境质量建设用地土壤污染风险管控标准（试行）》（GB36600-2018）；</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（6）《排污单位自行监测技术指南 总则》 （HJ 819-2017）；</w:t>
      </w:r>
    </w:p>
    <w:p>
      <w:pPr>
        <w:spacing w:line="276" w:lineRule="auto"/>
        <w:ind w:firstLine="570"/>
        <w:rPr>
          <w:rFonts w:ascii="微软雅黑" w:hAnsi="微软雅黑" w:eastAsia="微软雅黑" w:cs="微软雅黑"/>
          <w:sz w:val="22"/>
          <w:szCs w:val="22"/>
        </w:rPr>
      </w:pPr>
      <w:r>
        <w:rPr>
          <w:rFonts w:hint="eastAsia" w:ascii="微软雅黑" w:hAnsi="微软雅黑" w:eastAsia="微软雅黑" w:cs="微软雅黑"/>
          <w:sz w:val="22"/>
          <w:szCs w:val="22"/>
        </w:rPr>
        <w:t>（7）《环境监测质量管理技术导则》（HJ 630-2011）。</w:t>
      </w:r>
    </w:p>
    <w:p>
      <w:pPr>
        <w:pStyle w:val="7"/>
      </w:pPr>
      <w:bookmarkStart w:id="14" w:name="_Toc9422"/>
      <w:bookmarkStart w:id="15" w:name="_Toc23536_WPSOffice_Level2"/>
      <w:bookmarkStart w:id="16" w:name="_Toc12849_WPSOffice_Level2"/>
      <w:bookmarkStart w:id="17" w:name="_Toc32027_WPSOffice_Level2"/>
      <w:bookmarkStart w:id="18" w:name="_Toc24328"/>
      <w:r>
        <w:rPr>
          <w:rFonts w:hint="eastAsia"/>
        </w:rPr>
        <w:t>2.3 技术指南</w:t>
      </w:r>
      <w:bookmarkEnd w:id="14"/>
      <w:bookmarkEnd w:id="15"/>
      <w:bookmarkEnd w:id="16"/>
      <w:bookmarkEnd w:id="17"/>
      <w:bookmarkEnd w:id="18"/>
    </w:p>
    <w:p>
      <w:pPr>
        <w:widowControl/>
        <w:jc w:val="left"/>
        <w:rPr>
          <w:rFonts w:ascii="Arial" w:hAnsi="Arial" w:cs="Arial"/>
          <w:color w:val="000000"/>
          <w:kern w:val="0"/>
          <w:sz w:val="24"/>
          <w:szCs w:val="24"/>
          <w:lang w:bidi="ar"/>
        </w:rPr>
      </w:pPr>
      <w:bookmarkStart w:id="19" w:name="_Toc9315"/>
      <w:bookmarkStart w:id="20" w:name="_Toc29628"/>
      <w:r>
        <w:rPr>
          <w:rFonts w:hint="eastAsia" w:ascii="微软雅黑" w:hAnsi="微软雅黑" w:eastAsia="微软雅黑" w:cs="微软雅黑"/>
          <w:sz w:val="22"/>
          <w:szCs w:val="22"/>
        </w:rPr>
        <w:t>《工业企业土壤和地下水自行监测技术指南》（试行）</w:t>
      </w:r>
      <w:r>
        <w:rPr>
          <w:b/>
          <w:bCs/>
          <w:color w:val="000000"/>
          <w:kern w:val="0"/>
          <w:sz w:val="24"/>
          <w:szCs w:val="24"/>
          <w:lang w:bidi="ar"/>
        </w:rPr>
        <w:t xml:space="preserve">HJ </w:t>
      </w:r>
      <w:r>
        <w:rPr>
          <w:rFonts w:ascii="Arial" w:hAnsi="Arial" w:cs="Arial"/>
          <w:color w:val="000000"/>
          <w:kern w:val="0"/>
          <w:sz w:val="24"/>
          <w:szCs w:val="24"/>
          <w:lang w:bidi="ar"/>
        </w:rPr>
        <w:t>1209</w:t>
      </w:r>
      <w:r>
        <w:rPr>
          <w:rFonts w:hint="eastAsia" w:ascii="宋体" w:hAnsi="宋体" w:cs="宋体"/>
          <w:color w:val="000000"/>
          <w:kern w:val="0"/>
          <w:sz w:val="24"/>
          <w:szCs w:val="24"/>
          <w:lang w:bidi="ar"/>
        </w:rPr>
        <w:t>—</w:t>
      </w:r>
      <w:r>
        <w:rPr>
          <w:rFonts w:ascii="Arial" w:hAnsi="Arial" w:cs="Arial"/>
          <w:color w:val="000000"/>
          <w:kern w:val="0"/>
          <w:sz w:val="24"/>
          <w:szCs w:val="24"/>
          <w:lang w:bidi="ar"/>
        </w:rPr>
        <w:t>2021</w:t>
      </w:r>
    </w:p>
    <w:p>
      <w:pPr>
        <w:widowControl/>
        <w:jc w:val="left"/>
        <w:rPr>
          <w:rFonts w:ascii="微软雅黑" w:hAnsi="微软雅黑" w:eastAsia="微软雅黑" w:cs="微软雅黑"/>
          <w:sz w:val="22"/>
          <w:szCs w:val="22"/>
        </w:rPr>
      </w:pPr>
      <w:r>
        <w:rPr>
          <w:rFonts w:hint="eastAsia" w:ascii="微软雅黑" w:hAnsi="微软雅黑" w:eastAsia="微软雅黑" w:cs="微软雅黑"/>
          <w:sz w:val="22"/>
          <w:szCs w:val="22"/>
        </w:rPr>
        <w:t xml:space="preserve">《有毒有害水污染物名录（第一批）》的公告 （公告 </w:t>
      </w:r>
      <w:r>
        <w:rPr>
          <w:rFonts w:ascii="微软雅黑" w:hAnsi="微软雅黑" w:eastAsia="微软雅黑" w:cs="微软雅黑"/>
          <w:sz w:val="22"/>
          <w:szCs w:val="22"/>
        </w:rPr>
        <w:t xml:space="preserve">2019 </w:t>
      </w:r>
      <w:r>
        <w:rPr>
          <w:rFonts w:hint="eastAsia" w:ascii="微软雅黑" w:hAnsi="微软雅黑" w:eastAsia="微软雅黑" w:cs="微软雅黑"/>
          <w:sz w:val="22"/>
          <w:szCs w:val="22"/>
        </w:rPr>
        <w:t xml:space="preserve">年 第 </w:t>
      </w:r>
      <w:r>
        <w:rPr>
          <w:rFonts w:ascii="微软雅黑" w:hAnsi="微软雅黑" w:eastAsia="微软雅黑" w:cs="微软雅黑"/>
          <w:sz w:val="22"/>
          <w:szCs w:val="22"/>
        </w:rPr>
        <w:t xml:space="preserve">28 </w:t>
      </w:r>
      <w:r>
        <w:rPr>
          <w:rFonts w:hint="eastAsia" w:ascii="微软雅黑" w:hAnsi="微软雅黑" w:eastAsia="微软雅黑" w:cs="微软雅黑"/>
          <w:sz w:val="22"/>
          <w:szCs w:val="22"/>
        </w:rPr>
        <w:t>号）</w:t>
      </w:r>
    </w:p>
    <w:p>
      <w:pPr>
        <w:widowControl/>
        <w:jc w:val="left"/>
        <w:rPr>
          <w:rFonts w:ascii="微软雅黑" w:hAnsi="微软雅黑" w:eastAsia="微软雅黑" w:cs="微软雅黑"/>
          <w:sz w:val="22"/>
          <w:szCs w:val="22"/>
        </w:rPr>
      </w:pPr>
      <w:r>
        <w:rPr>
          <w:rFonts w:hint="eastAsia" w:ascii="微软雅黑" w:hAnsi="微软雅黑" w:eastAsia="微软雅黑" w:cs="微软雅黑"/>
          <w:sz w:val="22"/>
          <w:szCs w:val="22"/>
        </w:rPr>
        <w:t>《有毒有害大气污染物名录（2018 年）》的公告 （公告 2019 年 第 4 号）</w:t>
      </w:r>
    </w:p>
    <w:p>
      <w:pPr>
        <w:pStyle w:val="6"/>
        <w:rPr>
          <w:szCs w:val="22"/>
        </w:rPr>
      </w:pPr>
      <w:r>
        <w:rPr>
          <w:szCs w:val="22"/>
        </w:rPr>
        <w:t>3 企业基本</w:t>
      </w:r>
      <w:r>
        <w:rPr>
          <w:rFonts w:hint="eastAsia"/>
          <w:szCs w:val="22"/>
        </w:rPr>
        <w:t>情况</w:t>
      </w:r>
      <w:bookmarkEnd w:id="19"/>
      <w:bookmarkEnd w:id="20"/>
    </w:p>
    <w:p>
      <w:pPr>
        <w:pStyle w:val="7"/>
      </w:pPr>
      <w:bookmarkStart w:id="21" w:name="_Toc29630"/>
      <w:bookmarkStart w:id="22" w:name="_Toc412"/>
      <w:r>
        <w:t>3</w:t>
      </w:r>
      <w:r>
        <w:rPr>
          <w:rFonts w:hint="eastAsia"/>
        </w:rPr>
        <w:t xml:space="preserve">.1 </w:t>
      </w:r>
      <w:r>
        <w:t>企业基本信息</w:t>
      </w:r>
      <w:bookmarkEnd w:id="21"/>
      <w:bookmarkEnd w:id="22"/>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企业基本信息统计见下表。</w:t>
      </w: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color w:val="000000"/>
          <w:szCs w:val="21"/>
        </w:rPr>
      </w:pPr>
    </w:p>
    <w:p>
      <w:pPr>
        <w:jc w:val="center"/>
        <w:rPr>
          <w:b/>
          <w:bCs/>
          <w:sz w:val="44"/>
          <w:szCs w:val="44"/>
        </w:rPr>
      </w:pPr>
      <w:r>
        <w:rPr>
          <w:color w:val="000000"/>
          <w:szCs w:val="21"/>
        </w:rPr>
        <w:t>表</w:t>
      </w:r>
      <w:r>
        <w:rPr>
          <w:rFonts w:hint="eastAsia"/>
          <w:color w:val="000000"/>
          <w:szCs w:val="21"/>
        </w:rPr>
        <w:t>1</w:t>
      </w:r>
      <w:r>
        <w:rPr>
          <w:color w:val="000000"/>
          <w:szCs w:val="21"/>
        </w:rPr>
        <w:t xml:space="preserve"> </w:t>
      </w:r>
      <w:r>
        <w:rPr>
          <w:rFonts w:hint="eastAsia"/>
          <w:color w:val="000000"/>
          <w:szCs w:val="21"/>
        </w:rPr>
        <w:t xml:space="preserve"> </w:t>
      </w:r>
      <w:r>
        <w:rPr>
          <w:color w:val="000000"/>
          <w:szCs w:val="21"/>
        </w:rPr>
        <w:t>企业基本信息统计表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856"/>
        <w:gridCol w:w="1701"/>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名称</w:t>
            </w:r>
          </w:p>
        </w:tc>
        <w:tc>
          <w:tcPr>
            <w:tcW w:w="6734" w:type="dxa"/>
            <w:gridSpan w:val="3"/>
            <w:vAlign w:val="center"/>
          </w:tcPr>
          <w:p>
            <w:pPr>
              <w:widowControl/>
              <w:spacing w:line="360" w:lineRule="auto"/>
              <w:jc w:val="center"/>
              <w:rPr>
                <w:szCs w:val="21"/>
              </w:rPr>
            </w:pPr>
            <w:r>
              <w:rPr>
                <w:rFonts w:hint="eastAsia"/>
                <w:color w:val="000000"/>
                <w:szCs w:val="21"/>
              </w:rPr>
              <w:t>安阳中盈化肥有限公司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地址</w:t>
            </w:r>
          </w:p>
        </w:tc>
        <w:tc>
          <w:tcPr>
            <w:tcW w:w="2856" w:type="dxa"/>
            <w:vAlign w:val="center"/>
          </w:tcPr>
          <w:p>
            <w:pPr>
              <w:pStyle w:val="49"/>
              <w:spacing w:line="360" w:lineRule="auto"/>
              <w:jc w:val="center"/>
              <w:rPr>
                <w:rFonts w:ascii="Times New Roman" w:hAnsi="Times New Roman"/>
                <w:color w:val="000000"/>
                <w:kern w:val="2"/>
                <w:sz w:val="21"/>
                <w:szCs w:val="21"/>
              </w:rPr>
            </w:pPr>
            <w:r>
              <w:rPr>
                <w:rFonts w:hint="eastAsia" w:ascii="Times New Roman" w:hAnsi="Times New Roman"/>
                <w:color w:val="000000"/>
                <w:kern w:val="2"/>
                <w:sz w:val="21"/>
                <w:szCs w:val="21"/>
              </w:rPr>
              <w:t>滑县产业集聚区中盈路1号</w:t>
            </w:r>
          </w:p>
        </w:tc>
        <w:tc>
          <w:tcPr>
            <w:tcW w:w="1701" w:type="dxa"/>
            <w:vAlign w:val="center"/>
          </w:tcPr>
          <w:p>
            <w:pPr>
              <w:widowControl/>
              <w:spacing w:line="360" w:lineRule="auto"/>
              <w:jc w:val="center"/>
              <w:rPr>
                <w:szCs w:val="21"/>
              </w:rPr>
            </w:pPr>
            <w:r>
              <w:rPr>
                <w:szCs w:val="21"/>
              </w:rPr>
              <w:t>所在市</w:t>
            </w:r>
          </w:p>
        </w:tc>
        <w:tc>
          <w:tcPr>
            <w:tcW w:w="2177" w:type="dxa"/>
            <w:vAlign w:val="center"/>
          </w:tcPr>
          <w:p>
            <w:pPr>
              <w:widowControl/>
              <w:spacing w:line="360" w:lineRule="auto"/>
              <w:jc w:val="center"/>
              <w:rPr>
                <w:szCs w:val="21"/>
              </w:rPr>
            </w:pPr>
            <w:r>
              <w:rPr>
                <w:szCs w:val="21"/>
              </w:rPr>
              <w:t>安阳市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rFonts w:hint="eastAsia"/>
                <w:color w:val="000000"/>
                <w:szCs w:val="21"/>
              </w:rPr>
              <w:t>成立</w:t>
            </w:r>
            <w:r>
              <w:rPr>
                <w:color w:val="000000"/>
                <w:szCs w:val="21"/>
              </w:rPr>
              <w:t>日期</w:t>
            </w:r>
          </w:p>
        </w:tc>
        <w:tc>
          <w:tcPr>
            <w:tcW w:w="6734" w:type="dxa"/>
            <w:gridSpan w:val="3"/>
            <w:vAlign w:val="center"/>
          </w:tcPr>
          <w:p>
            <w:pPr>
              <w:widowControl/>
              <w:spacing w:line="360" w:lineRule="auto"/>
              <w:jc w:val="center"/>
              <w:rPr>
                <w:szCs w:val="21"/>
              </w:rPr>
            </w:pPr>
            <w:r>
              <w:rPr>
                <w:color w:val="000000"/>
                <w:szCs w:val="21"/>
              </w:rPr>
              <w:t>20</w:t>
            </w:r>
            <w:r>
              <w:rPr>
                <w:rFonts w:hint="eastAsia"/>
                <w:color w:val="000000"/>
                <w:szCs w:val="21"/>
              </w:rPr>
              <w:t>10</w:t>
            </w:r>
            <w:r>
              <w:rPr>
                <w:color w:val="000000"/>
                <w:szCs w:val="21"/>
              </w:rPr>
              <w:t>年</w:t>
            </w:r>
            <w:r>
              <w:rPr>
                <w:rFonts w:hint="eastAsia"/>
                <w:color w:val="000000"/>
                <w:szCs w:val="21"/>
              </w:rPr>
              <w:t>9月30日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法定代表人</w:t>
            </w:r>
          </w:p>
        </w:tc>
        <w:tc>
          <w:tcPr>
            <w:tcW w:w="2856" w:type="dxa"/>
            <w:vAlign w:val="center"/>
          </w:tcPr>
          <w:p>
            <w:pPr>
              <w:widowControl/>
              <w:spacing w:line="360" w:lineRule="auto"/>
              <w:jc w:val="center"/>
              <w:rPr>
                <w:color w:val="000000"/>
                <w:szCs w:val="21"/>
              </w:rPr>
            </w:pPr>
            <w:r>
              <w:rPr>
                <w:rFonts w:hint="eastAsia"/>
                <w:szCs w:val="21"/>
              </w:rPr>
              <w:t>王俊旭</w:t>
            </w:r>
          </w:p>
        </w:tc>
        <w:tc>
          <w:tcPr>
            <w:tcW w:w="1701" w:type="dxa"/>
            <w:vAlign w:val="center"/>
          </w:tcPr>
          <w:p>
            <w:pPr>
              <w:widowControl/>
              <w:spacing w:line="360" w:lineRule="auto"/>
              <w:jc w:val="center"/>
              <w:rPr>
                <w:szCs w:val="21"/>
              </w:rPr>
            </w:pPr>
            <w:r>
              <w:rPr>
                <w:szCs w:val="21"/>
              </w:rPr>
              <w:t>邮政编码</w:t>
            </w:r>
          </w:p>
        </w:tc>
        <w:tc>
          <w:tcPr>
            <w:tcW w:w="2177" w:type="dxa"/>
            <w:vAlign w:val="center"/>
          </w:tcPr>
          <w:p>
            <w:pPr>
              <w:widowControl/>
              <w:spacing w:line="360" w:lineRule="auto"/>
              <w:jc w:val="center"/>
              <w:rPr>
                <w:szCs w:val="21"/>
              </w:rPr>
            </w:pPr>
            <w:r>
              <w:rPr>
                <w:szCs w:val="21"/>
              </w:rPr>
              <w:t>456400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联系电话</w:t>
            </w:r>
          </w:p>
        </w:tc>
        <w:tc>
          <w:tcPr>
            <w:tcW w:w="2856" w:type="dxa"/>
            <w:vAlign w:val="center"/>
          </w:tcPr>
          <w:p>
            <w:pPr>
              <w:pStyle w:val="49"/>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15515062865</w:t>
            </w:r>
          </w:p>
        </w:tc>
        <w:tc>
          <w:tcPr>
            <w:tcW w:w="1701" w:type="dxa"/>
            <w:vAlign w:val="center"/>
          </w:tcPr>
          <w:p>
            <w:pPr>
              <w:widowControl/>
              <w:spacing w:line="360" w:lineRule="auto"/>
              <w:jc w:val="center"/>
              <w:rPr>
                <w:szCs w:val="21"/>
              </w:rPr>
            </w:pPr>
            <w:r>
              <w:rPr>
                <w:rFonts w:hint="eastAsia"/>
                <w:szCs w:val="21"/>
              </w:rPr>
              <w:t>劳动定员</w:t>
            </w:r>
          </w:p>
        </w:tc>
        <w:tc>
          <w:tcPr>
            <w:tcW w:w="2177" w:type="dxa"/>
            <w:vAlign w:val="center"/>
          </w:tcPr>
          <w:p>
            <w:pPr>
              <w:widowControl/>
              <w:spacing w:line="360" w:lineRule="auto"/>
              <w:jc w:val="center"/>
              <w:rPr>
                <w:szCs w:val="21"/>
              </w:rPr>
            </w:pPr>
            <w:r>
              <w:rPr>
                <w:rFonts w:hint="eastAsia"/>
                <w:szCs w:val="21"/>
              </w:rPr>
              <w:t>350</w:t>
            </w:r>
            <w:r>
              <w:rPr>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企业规模</w:t>
            </w:r>
          </w:p>
        </w:tc>
        <w:tc>
          <w:tcPr>
            <w:tcW w:w="2856" w:type="dxa"/>
            <w:vAlign w:val="center"/>
          </w:tcPr>
          <w:p>
            <w:pPr>
              <w:pStyle w:val="49"/>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60万吨尿素</w:t>
            </w:r>
          </w:p>
        </w:tc>
        <w:tc>
          <w:tcPr>
            <w:tcW w:w="1701" w:type="dxa"/>
            <w:vAlign w:val="center"/>
          </w:tcPr>
          <w:p>
            <w:pPr>
              <w:widowControl/>
              <w:spacing w:line="360" w:lineRule="auto"/>
              <w:jc w:val="center"/>
              <w:rPr>
                <w:szCs w:val="21"/>
              </w:rPr>
            </w:pPr>
            <w:r>
              <w:rPr>
                <w:szCs w:val="21"/>
              </w:rPr>
              <w:t>占地面积</w:t>
            </w:r>
          </w:p>
        </w:tc>
        <w:tc>
          <w:tcPr>
            <w:tcW w:w="2177" w:type="dxa"/>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267186.67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主要原料</w:t>
            </w:r>
          </w:p>
        </w:tc>
        <w:tc>
          <w:tcPr>
            <w:tcW w:w="2856" w:type="dxa"/>
            <w:vAlign w:val="center"/>
          </w:tcPr>
          <w:p>
            <w:pPr>
              <w:widowControl/>
              <w:spacing w:line="360" w:lineRule="auto"/>
              <w:jc w:val="center"/>
              <w:rPr>
                <w:szCs w:val="21"/>
              </w:rPr>
            </w:pPr>
            <w:r>
              <w:rPr>
                <w:rFonts w:hint="eastAsia"/>
                <w:szCs w:val="21"/>
              </w:rPr>
              <w:t>合成气、二氧化碳</w:t>
            </w:r>
          </w:p>
        </w:tc>
        <w:tc>
          <w:tcPr>
            <w:tcW w:w="1701" w:type="dxa"/>
            <w:vAlign w:val="center"/>
          </w:tcPr>
          <w:p>
            <w:pPr>
              <w:widowControl/>
              <w:spacing w:line="360" w:lineRule="auto"/>
              <w:jc w:val="center"/>
              <w:rPr>
                <w:szCs w:val="21"/>
              </w:rPr>
            </w:pPr>
            <w:r>
              <w:rPr>
                <w:szCs w:val="21"/>
              </w:rPr>
              <w:t>所属行业</w:t>
            </w:r>
          </w:p>
        </w:tc>
        <w:tc>
          <w:tcPr>
            <w:tcW w:w="2177" w:type="dxa"/>
            <w:vAlign w:val="center"/>
          </w:tcPr>
          <w:p>
            <w:pPr>
              <w:widowControl/>
              <w:spacing w:line="360" w:lineRule="auto"/>
              <w:jc w:val="center"/>
              <w:rPr>
                <w:szCs w:val="21"/>
              </w:rPr>
            </w:pPr>
            <w:r>
              <w:rPr>
                <w:rFonts w:hint="eastAsia"/>
                <w:szCs w:val="21"/>
              </w:rPr>
              <w:t>氮肥制造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788" w:type="dxa"/>
            <w:vAlign w:val="center"/>
          </w:tcPr>
          <w:p>
            <w:pPr>
              <w:widowControl/>
              <w:spacing w:line="360" w:lineRule="auto"/>
              <w:jc w:val="center"/>
              <w:rPr>
                <w:szCs w:val="21"/>
              </w:rPr>
            </w:pPr>
            <w:r>
              <w:rPr>
                <w:szCs w:val="21"/>
              </w:rPr>
              <w:t>主要固体废物</w:t>
            </w:r>
          </w:p>
        </w:tc>
        <w:tc>
          <w:tcPr>
            <w:tcW w:w="6734" w:type="dxa"/>
            <w:gridSpan w:val="3"/>
            <w:vAlign w:val="center"/>
          </w:tcPr>
          <w:p>
            <w:pPr>
              <w:widowControl/>
              <w:spacing w:line="360" w:lineRule="auto"/>
              <w:jc w:val="center"/>
              <w:rPr>
                <w:szCs w:val="21"/>
              </w:rPr>
            </w:pPr>
            <w:r>
              <w:rPr>
                <w:rFonts w:hint="eastAsia"/>
                <w:szCs w:val="21"/>
              </w:rPr>
              <w:t>生活垃圾、危险废物（废催化剂、废矿物油）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8" w:type="dxa"/>
            <w:vAlign w:val="center"/>
          </w:tcPr>
          <w:p>
            <w:pPr>
              <w:widowControl/>
              <w:spacing w:line="360" w:lineRule="auto"/>
              <w:jc w:val="center"/>
              <w:rPr>
                <w:szCs w:val="21"/>
              </w:rPr>
            </w:pPr>
            <w:r>
              <w:rPr>
                <w:szCs w:val="21"/>
              </w:rPr>
              <w:t>经度</w:t>
            </w:r>
          </w:p>
        </w:tc>
        <w:tc>
          <w:tcPr>
            <w:tcW w:w="2856" w:type="dxa"/>
            <w:vAlign w:val="center"/>
          </w:tcPr>
          <w:p>
            <w:pPr>
              <w:rPr>
                <w:szCs w:val="21"/>
              </w:rPr>
            </w:pPr>
            <w:r>
              <w:t>114º</w:t>
            </w:r>
            <w:r>
              <w:rPr>
                <w:rFonts w:hint="eastAsia"/>
              </w:rPr>
              <w:t xml:space="preserve"> </w:t>
            </w:r>
            <w:r>
              <w:t>34′</w:t>
            </w:r>
            <w:r>
              <w:rPr>
                <w:rFonts w:hint="eastAsia"/>
              </w:rPr>
              <w:t xml:space="preserve"> </w:t>
            </w:r>
            <w:r>
              <w:t>40.48″</w:t>
            </w:r>
          </w:p>
        </w:tc>
        <w:tc>
          <w:tcPr>
            <w:tcW w:w="1701" w:type="dxa"/>
            <w:vAlign w:val="center"/>
          </w:tcPr>
          <w:p>
            <w:pPr>
              <w:rPr>
                <w:szCs w:val="21"/>
              </w:rPr>
            </w:pPr>
            <w:r>
              <w:rPr>
                <w:rFonts w:ascii="宋体" w:hAnsi="宋体"/>
              </w:rPr>
              <w:t>纬度</w:t>
            </w:r>
          </w:p>
        </w:tc>
        <w:tc>
          <w:tcPr>
            <w:tcW w:w="2177" w:type="dxa"/>
            <w:vAlign w:val="center"/>
          </w:tcPr>
          <w:p>
            <w:pPr>
              <w:rPr>
                <w:szCs w:val="21"/>
              </w:rPr>
            </w:pPr>
            <w:r>
              <w:t>35º</w:t>
            </w:r>
            <w:r>
              <w:rPr>
                <w:rFonts w:hint="eastAsia"/>
              </w:rPr>
              <w:t xml:space="preserve"> </w:t>
            </w:r>
            <w:r>
              <w:t>31′</w:t>
            </w:r>
            <w:r>
              <w:rPr>
                <w:rFonts w:hint="eastAsia"/>
              </w:rPr>
              <w:t xml:space="preserve"> </w:t>
            </w:r>
            <w:r>
              <w:t>57.58″</w:t>
            </w:r>
          </w:p>
        </w:tc>
      </w:tr>
    </w:tbl>
    <w:p>
      <w:pPr>
        <w:pStyle w:val="7"/>
      </w:pPr>
      <w:bookmarkStart w:id="23" w:name="_Toc15874"/>
      <w:bookmarkStart w:id="24" w:name="_Toc15241"/>
      <w:r>
        <w:rPr>
          <w:rFonts w:hint="eastAsia"/>
        </w:rPr>
        <w:t>3.2 企业平面布置</w:t>
      </w:r>
      <w:bookmarkEnd w:id="23"/>
      <w:bookmarkEnd w:id="24"/>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中盈公司所用建设项目场地大致为长方形，其南北长约550m，南北宽约460m；在厂区西北角征用了南北长530m，东西宽110m的场地，因此厂区形似一刀把。厂区地势较为平坦，绝对高程在58.1～59.1m之间。</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中盈公司项目西与原什牌村紧邻，道路东侧为盈德公司的项目场地。场地东与园区锦华路相邻，路东为宣武庄村，最近处相邻约160m。项目场地南与园区规划的中盈大道相邻，并与省道S222相接。</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主要建设内容包括煤炭储运、合成氨生产装置、尿素生产装置，及公用工程、辅助生产设施以及配套的办公、生活设施等。</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煤炭储运包括原料煤储运系统、原料煤储存、破碎系统，原料煤转运系统等。</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合成氨装置包括合成气压缩、氨压缩（冰机）、氨合成、氨罐区等。</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尿素装置包括二氧化碳压缩、尿素主框架、尿素包装、尿素贮运、散库等设施。</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公用工程及辅助设施系统包括循环水系统、脱盐水系统、净化水系统、污水处理系统以及变配电系统、消防站等。</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平面布置主要分成四大功能区：厂前区、主生产区、煤炭贮运区、仓库区、水处理区。</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厂前区位于项目厂区的南部，与园区规划的中盈路相邻，并与省道S222相接。建有办公大楼（含中心化验室、生产调度管理中心）、多功能实验楼等。办公大楼分属盈德、中盈两个公司。</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煤炭贮运区位于刀把形场地内，远离主生产区，降低对主厂区内的污染，对厂区内的生产设施影响最小。同时由于运输量较大，在其西邻规划了厂内铁路。</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主生产区由合成氨装置、尿素装置及氨罐区等组成。由于合成氨生产原料由盈德气体合成气厂提供，将合成氨装置和尿素装置紧靠盈德气体合成气厂布置，位于本厂东北部；氨罐区布置在尿素装置西侧。</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仓库区包括尿素散装库、尿素成品袋装堆棚及机修、综合仓库等。铁路（规划中）拟从厂址西北侧1.5公里电厂铁路专用线引入厂区，尿素成品袋装堆棚紧靠铁路装卸线布置，其西侧为铁路装车，东侧是汽车装车；尿素散装库布置在尿素成品袋装堆棚和尿素装置之间，便于尿素成品栈桥输送。机修、综合仓库亦布置在尿素成品袋装堆棚南侧紧靠铁路布置。</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水处理区由污水处理、净化站、循环水站、除盐水站等组成，布置在尿素项目厂区中部，净化站靠近厂前区布置；污水处理、循环水站布置在净化站北侧，远离厂前区，除盐水站布置在净化站东侧，距主装置近。</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总变电站位于厂区东北角，盈德公司南部，远离生产装置区，便于进线及管理。</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整个装置总图布置按照生产工艺流程，布局顺畅、紧凑、合理。</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为满足后续发展的要求，在部分主项附近预留了后续发展用地。</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厂区布局具体详见附图1：总平面布置图。</w:t>
      </w:r>
    </w:p>
    <w:p>
      <w:pPr>
        <w:adjustRightInd w:val="0"/>
        <w:snapToGrid w:val="0"/>
        <w:spacing w:line="276" w:lineRule="auto"/>
        <w:ind w:firstLine="420" w:firstLineChars="200"/>
      </w:pPr>
    </w:p>
    <w:p>
      <w:pPr>
        <w:pStyle w:val="7"/>
      </w:pPr>
      <w:bookmarkStart w:id="25" w:name="_Toc19622"/>
      <w:bookmarkStart w:id="26" w:name="_Toc3654"/>
      <w:r>
        <w:rPr>
          <w:rFonts w:hint="eastAsia"/>
        </w:rPr>
        <w:t>3.3</w:t>
      </w:r>
      <w:r>
        <w:t>自然环境概况</w:t>
      </w:r>
      <w:bookmarkEnd w:id="25"/>
      <w:bookmarkEnd w:id="26"/>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3.</w:t>
      </w:r>
      <w:r>
        <w:rPr>
          <w:rFonts w:hint="eastAsia" w:ascii="微软雅黑" w:hAnsi="微软雅黑" w:eastAsia="微软雅黑" w:cs="微软雅黑"/>
          <w:color w:val="000000"/>
          <w:sz w:val="22"/>
          <w:szCs w:val="22"/>
        </w:rPr>
        <w:t>3</w:t>
      </w:r>
      <w:r>
        <w:rPr>
          <w:rFonts w:ascii="微软雅黑" w:hAnsi="微软雅黑" w:eastAsia="微软雅黑" w:cs="微软雅黑"/>
          <w:color w:val="000000"/>
          <w:sz w:val="22"/>
          <w:szCs w:val="22"/>
        </w:rPr>
        <w:t>.1 地理位置</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lang w:val="zh-CN"/>
        </w:rPr>
        <w:t>滑县位于河南省东北部，在东经114°23′～59′，北纬35°12′～47′之间，东西长51.1km，南北宽39.5km，为古黄河冲积平原，地处豫北平原，与濮阳、延津、浚县、长垣、封丘、内黄接壤。县城道口镇南距郑州市153km，北距安阳市70km，东北距濮阳市53km，西南距新乡市70km，西北距鹤壁新市区25km，总面积1814km2，人口125万，辖10镇12乡1个新区、1020个行政村。</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3.</w:t>
      </w:r>
      <w:r>
        <w:rPr>
          <w:rFonts w:hint="eastAsia" w:ascii="微软雅黑" w:hAnsi="微软雅黑" w:eastAsia="微软雅黑" w:cs="微软雅黑"/>
          <w:color w:val="000000"/>
          <w:sz w:val="22"/>
          <w:szCs w:val="22"/>
        </w:rPr>
        <w:t>3</w:t>
      </w:r>
      <w:r>
        <w:rPr>
          <w:rFonts w:ascii="微软雅黑" w:hAnsi="微软雅黑" w:eastAsia="微软雅黑" w:cs="微软雅黑"/>
          <w:color w:val="000000"/>
          <w:sz w:val="22"/>
          <w:szCs w:val="22"/>
        </w:rPr>
        <w:t>.2 地形地貌</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滑县处于黄河冲积平原的西部边缘，地势比较平坦，起伏较小，总体呈西南高、东北低之势，海拔在50-65m之间，东西地面比降1/7000，南北地面比降1/5000。由于地处黄河故道，历史上受黄河多次泛滥的影响形成了“九堤、四坡、十八洼”的地形特点。</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3.</w:t>
      </w:r>
      <w:r>
        <w:rPr>
          <w:rFonts w:hint="eastAsia" w:ascii="微软雅黑" w:hAnsi="微软雅黑" w:eastAsia="微软雅黑" w:cs="微软雅黑"/>
          <w:color w:val="000000"/>
          <w:sz w:val="22"/>
          <w:szCs w:val="22"/>
        </w:rPr>
        <w:t>3</w:t>
      </w:r>
      <w:r>
        <w:rPr>
          <w:rFonts w:ascii="微软雅黑" w:hAnsi="微软雅黑" w:eastAsia="微软雅黑" w:cs="微软雅黑"/>
          <w:color w:val="000000"/>
          <w:sz w:val="22"/>
          <w:szCs w:val="22"/>
        </w:rPr>
        <w:t>.3 水文气象</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（1）气象</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滑县气候为暖温带大陆性气候，光、热、水资源比较丰富，其特点为：春季温暖多风，夏季炎热多雨，秋季凉爽湿润，冬季寒冷干燥，四季分明，雨、热同季，有利于农作物的生长。</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历年气象资料表明，年平均气温为13.7℃,年极端最高气温41.8℃，极端最低气温-19.2℃；年平均降雨量619.7mm，土壤最大冻结深度120mm。年平均风速3.2m/s,最大风速31m/s，主导风向夏季为偏南风，冬季为偏北风，频率分别为31%和26%，静风频率为12.6%。</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（2）水文</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（1）地下水</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滑县地下水较为丰富，在第四系全新统地层中含有8个含水层组。全县95%以上地下水呈弱碱性，pH值在7—9之间，矿化度2g/L以下的地下水占总面积的95.7%，绝大部分水质较好。</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（2）地表水</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流经滑县的地表水大部分属黄河流域，滑县西部及西北部边界地带属卫河水系海河流域。卫河自浚县曹湾村东入滑县县境，经道口桥上村至军庄北复入浚县，境内河长8km。</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金堤河是滑县的主要排洪、排污河道，也是延津、封丘、长垣、濮阳、范县、台前等的一条大型排涝河道。金堤河在滑县境内的主要支流有黄庄河、柳青河、瓦岗河、贾公河、城关河、大功河等。</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黄庄河位于滑县东部，该河自长垣县东角城入滑县县境，在秦寨入金堤河，境内长度32.35km。</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柳青河发源于封丘县，是封丘县全境的主要河流，自半坡店入滑县县境，在田庄与黄庄河汇合，滑县境内全长51.76km，是滑县从西南到东北贯穿全县的最长河流。</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贾公河起于双庙村，在大王庄入金堤河，全长27.5km，流域面积117km2。城关河原名贾公河分洪道，起源于柴郎柳，在白家庄入金堤河，是县城的主要纳污河，河长27.3km，流域面积160km2。</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lang w:val="zh-CN"/>
        </w:rPr>
        <w:t>大功河是1958年开挖的大型引黄河道，在封丘县西南部三义寨由黄河引水向东北，自西小庄以下称为金堤河。金堤河流经濮阳县北部纵贯全境后，经范县北部边界、台前县北部，在北张庄入黄河。在滑县境内金堤河流域面积1659km2，境内长度25.9km。金堤河近年来接纳了长垣县、封丘、滑县的大部分工业和城市污水，已失去了工农业使用功能。</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ascii="微软雅黑" w:hAnsi="微软雅黑" w:eastAsia="微软雅黑" w:cs="微软雅黑"/>
          <w:color w:val="000000"/>
          <w:sz w:val="22"/>
          <w:szCs w:val="22"/>
        </w:rPr>
        <w:t>3.</w:t>
      </w:r>
      <w:r>
        <w:rPr>
          <w:rFonts w:hint="eastAsia" w:ascii="微软雅黑" w:hAnsi="微软雅黑" w:eastAsia="微软雅黑" w:cs="微软雅黑"/>
          <w:color w:val="000000"/>
          <w:sz w:val="22"/>
          <w:szCs w:val="22"/>
        </w:rPr>
        <w:t>3</w:t>
      </w:r>
      <w:r>
        <w:rPr>
          <w:rFonts w:ascii="微软雅黑" w:hAnsi="微软雅黑" w:eastAsia="微软雅黑" w:cs="微软雅黑"/>
          <w:color w:val="000000"/>
          <w:sz w:val="22"/>
          <w:szCs w:val="22"/>
        </w:rPr>
        <w:t>.4土壤植被</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ascii="微软雅黑" w:hAnsi="微软雅黑" w:eastAsia="微软雅黑" w:cs="微软雅黑"/>
          <w:color w:val="000000"/>
          <w:sz w:val="22"/>
          <w:szCs w:val="22"/>
        </w:rPr>
        <w:t>滑县处于黄河冲积平原，成土母质以黄河冲积母质为主，成土年龄短，质地疏松，多属潮土。土壤结构分为粘土和风沙土两种，东粘西沙。区域内自然植被稀少，</w:t>
      </w:r>
      <w:r>
        <w:rPr>
          <w:rFonts w:ascii="微软雅黑" w:hAnsi="微软雅黑" w:eastAsia="微软雅黑" w:cs="微软雅黑"/>
          <w:color w:val="000000"/>
          <w:sz w:val="22"/>
          <w:szCs w:val="22"/>
          <w:lang w:val="zh-CN"/>
        </w:rPr>
        <w:t>绝大多数为农田，当地主要农作物为小麦、玉米、大豆、棉花、花生等。</w:t>
      </w:r>
    </w:p>
    <w:p>
      <w:pPr>
        <w:pStyle w:val="7"/>
        <w:rPr>
          <w:lang w:val="zh-CN"/>
        </w:rPr>
      </w:pPr>
      <w:bookmarkStart w:id="27" w:name="_Toc401"/>
      <w:bookmarkStart w:id="28" w:name="_Toc9852"/>
      <w:r>
        <w:rPr>
          <w:rFonts w:hint="eastAsia"/>
        </w:rPr>
        <w:t>3.4 生产工艺、设备及污染防治措施</w:t>
      </w:r>
      <w:bookmarkEnd w:id="27"/>
      <w:bookmarkEnd w:id="28"/>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3.4.1 </w:t>
      </w:r>
      <w:r>
        <w:rPr>
          <w:rFonts w:ascii="微软雅黑" w:hAnsi="微软雅黑" w:eastAsia="微软雅黑" w:cs="微软雅黑"/>
          <w:color w:val="000000"/>
          <w:sz w:val="22"/>
          <w:szCs w:val="22"/>
          <w:lang w:val="zh-CN"/>
        </w:rPr>
        <w:t>主要原辅材料情况</w:t>
      </w:r>
    </w:p>
    <w:p>
      <w:pPr>
        <w:adjustRightInd w:val="0"/>
        <w:snapToGrid w:val="0"/>
        <w:spacing w:line="276" w:lineRule="auto"/>
        <w:ind w:firstLine="440" w:firstLineChars="200"/>
        <w:rPr>
          <w:rFonts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企业生产主要</w:t>
      </w:r>
      <w:r>
        <w:rPr>
          <w:rFonts w:ascii="微软雅黑" w:hAnsi="微软雅黑" w:eastAsia="微软雅黑" w:cs="微软雅黑"/>
          <w:color w:val="000000"/>
          <w:sz w:val="22"/>
          <w:szCs w:val="22"/>
          <w:lang w:val="zh-CN"/>
        </w:rPr>
        <w:t>原辅材料</w:t>
      </w:r>
      <w:r>
        <w:rPr>
          <w:rFonts w:hint="eastAsia" w:ascii="微软雅黑" w:hAnsi="微软雅黑" w:eastAsia="微软雅黑" w:cs="微软雅黑"/>
          <w:color w:val="000000"/>
          <w:sz w:val="22"/>
          <w:szCs w:val="22"/>
          <w:lang w:val="zh-CN"/>
        </w:rPr>
        <w:t>、</w:t>
      </w:r>
      <w:r>
        <w:rPr>
          <w:rFonts w:hint="eastAsia" w:ascii="微软雅黑" w:hAnsi="微软雅黑" w:eastAsia="微软雅黑" w:cs="微软雅黑"/>
          <w:color w:val="000000"/>
          <w:sz w:val="22"/>
          <w:szCs w:val="22"/>
        </w:rPr>
        <w:t>动力</w:t>
      </w:r>
      <w:r>
        <w:rPr>
          <w:rFonts w:ascii="微软雅黑" w:hAnsi="微软雅黑" w:eastAsia="微软雅黑" w:cs="微软雅黑"/>
          <w:color w:val="000000"/>
          <w:sz w:val="22"/>
          <w:szCs w:val="22"/>
          <w:lang w:val="zh-CN"/>
        </w:rPr>
        <w:t>消耗见</w:t>
      </w:r>
      <w:r>
        <w:rPr>
          <w:rFonts w:hint="eastAsia" w:ascii="微软雅黑" w:hAnsi="微软雅黑" w:eastAsia="微软雅黑" w:cs="微软雅黑"/>
          <w:color w:val="000000"/>
          <w:sz w:val="22"/>
          <w:szCs w:val="22"/>
        </w:rPr>
        <w:t>下</w:t>
      </w:r>
      <w:r>
        <w:rPr>
          <w:rFonts w:ascii="微软雅黑" w:hAnsi="微软雅黑" w:eastAsia="微软雅黑" w:cs="微软雅黑"/>
          <w:color w:val="000000"/>
          <w:sz w:val="22"/>
          <w:szCs w:val="22"/>
          <w:lang w:val="zh-CN"/>
        </w:rPr>
        <w:t xml:space="preserve">表。 </w:t>
      </w:r>
    </w:p>
    <w:p>
      <w:pPr>
        <w:pStyle w:val="2"/>
        <w:rPr>
          <w:rFonts w:ascii="微软雅黑" w:hAnsi="微软雅黑" w:eastAsia="微软雅黑" w:cs="微软雅黑"/>
          <w:color w:val="000000"/>
          <w:sz w:val="22"/>
          <w:szCs w:val="22"/>
          <w:lang w:val="zh-CN"/>
        </w:rPr>
      </w:pPr>
    </w:p>
    <w:p>
      <w:pPr>
        <w:pStyle w:val="3"/>
        <w:rPr>
          <w:lang w:val="zh-CN"/>
        </w:rPr>
      </w:pPr>
    </w:p>
    <w:p>
      <w:pPr>
        <w:spacing w:line="500" w:lineRule="exact"/>
        <w:ind w:firstLine="480"/>
        <w:jc w:val="center"/>
        <w:rPr>
          <w:color w:val="000000"/>
          <w:szCs w:val="21"/>
        </w:rPr>
      </w:pPr>
      <w:r>
        <w:rPr>
          <w:color w:val="000000"/>
          <w:szCs w:val="21"/>
        </w:rPr>
        <w:t>表2</w:t>
      </w:r>
      <w:r>
        <w:rPr>
          <w:rFonts w:hint="eastAsia"/>
          <w:color w:val="000000"/>
          <w:szCs w:val="21"/>
        </w:rPr>
        <w:t xml:space="preserve"> </w:t>
      </w:r>
      <w:r>
        <w:rPr>
          <w:color w:val="000000"/>
          <w:szCs w:val="21"/>
        </w:rPr>
        <w:t xml:space="preserve"> 主要原辅材料</w:t>
      </w:r>
      <w:r>
        <w:rPr>
          <w:rFonts w:hint="eastAsia"/>
          <w:color w:val="000000"/>
          <w:szCs w:val="21"/>
        </w:rPr>
        <w:t>、动力</w:t>
      </w:r>
      <w:r>
        <w:rPr>
          <w:color w:val="000000"/>
          <w:szCs w:val="21"/>
        </w:rPr>
        <w:t>消耗一览表</w:t>
      </w:r>
    </w:p>
    <w:p>
      <w:pPr>
        <w:spacing w:line="240" w:lineRule="exact"/>
        <w:jc w:val="center"/>
        <w:rPr>
          <w:sz w:val="28"/>
          <w:szCs w:val="28"/>
        </w:rPr>
      </w:pPr>
    </w:p>
    <w:tbl>
      <w:tblPr>
        <w:tblStyle w:val="20"/>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652"/>
        <w:gridCol w:w="729"/>
        <w:gridCol w:w="1640"/>
        <w:gridCol w:w="1521"/>
        <w:gridCol w:w="156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Ansi="宋体"/>
                <w:szCs w:val="21"/>
              </w:rPr>
              <w:t>序号</w:t>
            </w:r>
          </w:p>
        </w:tc>
        <w:tc>
          <w:tcPr>
            <w:tcW w:w="652" w:type="dxa"/>
            <w:tcMar>
              <w:left w:w="57" w:type="dxa"/>
              <w:right w:w="57" w:type="dxa"/>
            </w:tcMar>
            <w:vAlign w:val="center"/>
          </w:tcPr>
          <w:p>
            <w:pPr>
              <w:spacing w:line="300" w:lineRule="exact"/>
              <w:jc w:val="center"/>
              <w:rPr>
                <w:szCs w:val="21"/>
              </w:rPr>
            </w:pPr>
            <w:r>
              <w:rPr>
                <w:rFonts w:hAnsi="宋体"/>
                <w:szCs w:val="21"/>
              </w:rPr>
              <w:t>名称</w:t>
            </w:r>
          </w:p>
        </w:tc>
        <w:tc>
          <w:tcPr>
            <w:tcW w:w="729" w:type="dxa"/>
            <w:tcMar>
              <w:left w:w="57" w:type="dxa"/>
              <w:right w:w="57" w:type="dxa"/>
            </w:tcMar>
            <w:vAlign w:val="center"/>
          </w:tcPr>
          <w:p>
            <w:pPr>
              <w:spacing w:line="300" w:lineRule="exact"/>
              <w:jc w:val="center"/>
              <w:rPr>
                <w:rFonts w:hAnsi="宋体"/>
                <w:szCs w:val="21"/>
              </w:rPr>
            </w:pPr>
            <w:r>
              <w:rPr>
                <w:rFonts w:hint="eastAsia" w:hAnsi="宋体"/>
                <w:szCs w:val="21"/>
              </w:rPr>
              <w:t>装置</w:t>
            </w:r>
          </w:p>
        </w:tc>
        <w:tc>
          <w:tcPr>
            <w:tcW w:w="1640" w:type="dxa"/>
            <w:tcMar>
              <w:left w:w="57" w:type="dxa"/>
              <w:right w:w="57" w:type="dxa"/>
            </w:tcMar>
            <w:vAlign w:val="center"/>
          </w:tcPr>
          <w:p>
            <w:pPr>
              <w:spacing w:line="300" w:lineRule="exact"/>
              <w:jc w:val="center"/>
              <w:rPr>
                <w:szCs w:val="21"/>
              </w:rPr>
            </w:pPr>
            <w:r>
              <w:rPr>
                <w:rFonts w:hAnsi="宋体"/>
                <w:szCs w:val="21"/>
              </w:rPr>
              <w:t>品种</w:t>
            </w:r>
          </w:p>
        </w:tc>
        <w:tc>
          <w:tcPr>
            <w:tcW w:w="1521" w:type="dxa"/>
            <w:tcMar>
              <w:left w:w="57" w:type="dxa"/>
              <w:right w:w="57" w:type="dxa"/>
            </w:tcMar>
            <w:vAlign w:val="center"/>
          </w:tcPr>
          <w:p>
            <w:pPr>
              <w:spacing w:line="300" w:lineRule="exact"/>
              <w:jc w:val="center"/>
              <w:rPr>
                <w:szCs w:val="21"/>
              </w:rPr>
            </w:pPr>
            <w:r>
              <w:rPr>
                <w:rFonts w:hAnsi="宋体"/>
                <w:szCs w:val="21"/>
              </w:rPr>
              <w:t>牌号或规格</w:t>
            </w:r>
          </w:p>
        </w:tc>
        <w:tc>
          <w:tcPr>
            <w:tcW w:w="1560" w:type="dxa"/>
            <w:tcMar>
              <w:left w:w="57" w:type="dxa"/>
              <w:right w:w="57" w:type="dxa"/>
            </w:tcMar>
            <w:vAlign w:val="center"/>
          </w:tcPr>
          <w:p>
            <w:pPr>
              <w:spacing w:line="300" w:lineRule="exact"/>
              <w:jc w:val="center"/>
              <w:rPr>
                <w:szCs w:val="21"/>
              </w:rPr>
            </w:pPr>
            <w:r>
              <w:rPr>
                <w:rFonts w:hAnsi="宋体"/>
                <w:szCs w:val="21"/>
              </w:rPr>
              <w:t>用量</w:t>
            </w:r>
            <w:r>
              <w:rPr>
                <w:szCs w:val="21"/>
              </w:rPr>
              <w:t>/</w:t>
            </w:r>
          </w:p>
          <w:p>
            <w:pPr>
              <w:spacing w:line="300" w:lineRule="exact"/>
              <w:jc w:val="center"/>
              <w:rPr>
                <w:szCs w:val="21"/>
              </w:rPr>
            </w:pPr>
            <w:r>
              <w:rPr>
                <w:rFonts w:hAnsi="宋体"/>
                <w:szCs w:val="21"/>
              </w:rPr>
              <w:t>一次装填量</w:t>
            </w:r>
          </w:p>
        </w:tc>
        <w:tc>
          <w:tcPr>
            <w:tcW w:w="2521" w:type="dxa"/>
            <w:tcMar>
              <w:left w:w="57" w:type="dxa"/>
              <w:right w:w="57" w:type="dxa"/>
            </w:tcMar>
            <w:vAlign w:val="center"/>
          </w:tcPr>
          <w:p>
            <w:pPr>
              <w:spacing w:line="300" w:lineRule="exact"/>
              <w:jc w:val="center"/>
              <w:rPr>
                <w:szCs w:val="21"/>
              </w:rPr>
            </w:pPr>
            <w:r>
              <w:rPr>
                <w:rFonts w:hAnsi="宋体"/>
                <w:szCs w:val="21"/>
              </w:rPr>
              <w:t>备</w:t>
            </w:r>
            <w:r>
              <w:rPr>
                <w:szCs w:val="21"/>
              </w:rPr>
              <w:t xml:space="preserve">  </w:t>
            </w:r>
            <w:r>
              <w:rPr>
                <w:rFonts w:hAnsi="宋体"/>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w:t>
            </w:r>
          </w:p>
        </w:tc>
        <w:tc>
          <w:tcPr>
            <w:tcW w:w="652" w:type="dxa"/>
            <w:vMerge w:val="restart"/>
            <w:tcMar>
              <w:left w:w="57" w:type="dxa"/>
              <w:right w:w="57" w:type="dxa"/>
            </w:tcMar>
            <w:vAlign w:val="center"/>
          </w:tcPr>
          <w:p>
            <w:pPr>
              <w:spacing w:line="300" w:lineRule="exact"/>
              <w:jc w:val="center"/>
              <w:rPr>
                <w:rFonts w:hAnsi="宋体"/>
                <w:szCs w:val="21"/>
              </w:rPr>
            </w:pPr>
            <w:r>
              <w:rPr>
                <w:rFonts w:hAnsi="宋体"/>
                <w:szCs w:val="21"/>
              </w:rPr>
              <w:t>原</w:t>
            </w:r>
          </w:p>
          <w:p>
            <w:pPr>
              <w:spacing w:line="300" w:lineRule="exact"/>
              <w:jc w:val="center"/>
              <w:rPr>
                <w:rFonts w:hAnsi="宋体"/>
                <w:szCs w:val="21"/>
              </w:rPr>
            </w:pPr>
            <w:r>
              <w:rPr>
                <w:rFonts w:hAnsi="宋体"/>
                <w:szCs w:val="21"/>
              </w:rPr>
              <w:t>辅</w:t>
            </w:r>
          </w:p>
          <w:p>
            <w:pPr>
              <w:spacing w:line="300" w:lineRule="exact"/>
              <w:jc w:val="center"/>
              <w:rPr>
                <w:rFonts w:hAnsi="宋体"/>
                <w:szCs w:val="21"/>
              </w:rPr>
            </w:pPr>
            <w:r>
              <w:rPr>
                <w:rFonts w:hAnsi="宋体"/>
                <w:szCs w:val="21"/>
              </w:rPr>
              <w:t>材</w:t>
            </w:r>
          </w:p>
          <w:p>
            <w:pPr>
              <w:spacing w:line="300" w:lineRule="exact"/>
              <w:jc w:val="center"/>
              <w:rPr>
                <w:szCs w:val="21"/>
              </w:rPr>
            </w:pPr>
            <w:r>
              <w:rPr>
                <w:rFonts w:hAnsi="宋体"/>
                <w:szCs w:val="21"/>
              </w:rPr>
              <w:t>料</w:t>
            </w:r>
          </w:p>
        </w:tc>
        <w:tc>
          <w:tcPr>
            <w:tcW w:w="729" w:type="dxa"/>
            <w:vMerge w:val="restart"/>
            <w:tcMar>
              <w:left w:w="57" w:type="dxa"/>
              <w:right w:w="57" w:type="dxa"/>
            </w:tcMar>
            <w:vAlign w:val="center"/>
          </w:tcPr>
          <w:p>
            <w:pPr>
              <w:spacing w:line="300" w:lineRule="exact"/>
              <w:jc w:val="center"/>
              <w:rPr>
                <w:rFonts w:hAnsi="宋体"/>
                <w:szCs w:val="21"/>
              </w:rPr>
            </w:pPr>
            <w:r>
              <w:rPr>
                <w:rFonts w:hint="eastAsia" w:hAnsi="宋体"/>
                <w:szCs w:val="21"/>
              </w:rPr>
              <w:t>合成氨及尿素</w:t>
            </w:r>
          </w:p>
        </w:tc>
        <w:tc>
          <w:tcPr>
            <w:tcW w:w="1640" w:type="dxa"/>
            <w:tcMar>
              <w:left w:w="57" w:type="dxa"/>
              <w:right w:w="57" w:type="dxa"/>
            </w:tcMar>
            <w:vAlign w:val="center"/>
          </w:tcPr>
          <w:p>
            <w:pPr>
              <w:spacing w:line="300" w:lineRule="exact"/>
              <w:jc w:val="center"/>
              <w:rPr>
                <w:rFonts w:hAnsi="宋体"/>
                <w:szCs w:val="21"/>
              </w:rPr>
            </w:pPr>
            <w:r>
              <w:rPr>
                <w:rFonts w:hint="eastAsia" w:hAnsi="宋体"/>
                <w:szCs w:val="21"/>
              </w:rPr>
              <w:t>合成气</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spacing w:line="300" w:lineRule="exact"/>
              <w:jc w:val="center"/>
              <w:rPr>
                <w:color w:val="000000"/>
                <w:szCs w:val="21"/>
              </w:rPr>
            </w:pPr>
            <w:r>
              <w:rPr>
                <w:bCs/>
                <w:iCs/>
                <w:color w:val="000000"/>
                <w:szCs w:val="21"/>
              </w:rPr>
              <w:t>155941Nm</w:t>
            </w:r>
            <w:r>
              <w:rPr>
                <w:bCs/>
                <w:iCs/>
                <w:color w:val="000000"/>
                <w:szCs w:val="21"/>
                <w:vertAlign w:val="superscript"/>
              </w:rPr>
              <w:t>3</w:t>
            </w:r>
            <w:r>
              <w:rPr>
                <w:bCs/>
                <w:iCs/>
                <w:color w:val="000000"/>
                <w:szCs w:val="21"/>
              </w:rPr>
              <w:t>/h</w:t>
            </w:r>
          </w:p>
        </w:tc>
        <w:tc>
          <w:tcPr>
            <w:tcW w:w="2521" w:type="dxa"/>
            <w:tcMar>
              <w:left w:w="57" w:type="dxa"/>
              <w:right w:w="57" w:type="dxa"/>
            </w:tcMar>
            <w:vAlign w:val="center"/>
          </w:tcPr>
          <w:p>
            <w:pPr>
              <w:spacing w:line="300" w:lineRule="exact"/>
              <w:jc w:val="center"/>
              <w:rPr>
                <w:rFonts w:hAnsi="宋体"/>
                <w:szCs w:val="21"/>
                <w:lang w:val="de-DE"/>
              </w:rPr>
            </w:pPr>
            <w:r>
              <w:rPr>
                <w:rFonts w:hint="eastAsia" w:hAnsi="宋体"/>
                <w:szCs w:val="21"/>
                <w:lang w:val="de-DE"/>
              </w:rPr>
              <w:t>2670</w:t>
            </w:r>
            <w:r>
              <w:rPr>
                <w:bCs/>
                <w:iCs/>
                <w:color w:val="000000"/>
                <w:szCs w:val="21"/>
                <w:lang w:val="de-DE"/>
              </w:rPr>
              <w:t xml:space="preserve"> Nm</w:t>
            </w:r>
            <w:r>
              <w:rPr>
                <w:bCs/>
                <w:iCs/>
                <w:color w:val="000000"/>
                <w:szCs w:val="21"/>
                <w:vertAlign w:val="superscript"/>
                <w:lang w:val="de-DE"/>
              </w:rPr>
              <w:t>3</w:t>
            </w:r>
            <w:r>
              <w:rPr>
                <w:bCs/>
                <w:iCs/>
                <w:color w:val="000000"/>
                <w:szCs w:val="21"/>
                <w:lang w:val="de-DE"/>
              </w:rPr>
              <w:t>/</w:t>
            </w:r>
            <w:r>
              <w:rPr>
                <w:rFonts w:hint="eastAsia"/>
                <w:bCs/>
                <w:iCs/>
                <w:color w:val="000000"/>
                <w:szCs w:val="21"/>
              </w:rPr>
              <w:t>吨</w:t>
            </w:r>
            <w:r>
              <w:rPr>
                <w:rFonts w:hint="eastAsia"/>
                <w:bCs/>
                <w:iCs/>
                <w:color w:val="000000"/>
                <w:szCs w:val="21"/>
                <w:lang w:val="de-DE"/>
              </w:rPr>
              <w:t>NH</w:t>
            </w:r>
            <w:r>
              <w:rPr>
                <w:rFonts w:hint="eastAsia"/>
                <w:bCs/>
                <w:iCs/>
                <w:color w:val="000000"/>
                <w:szCs w:val="21"/>
                <w:vertAlign w:val="subscript"/>
                <w:lang w:val="de-DE"/>
              </w:rPr>
              <w:t>3</w:t>
            </w:r>
            <w:r>
              <w:rPr>
                <w:rFonts w:hint="eastAsia" w:hAnsi="宋体"/>
                <w:szCs w:val="21"/>
                <w:lang w:val="de-DE"/>
              </w:rPr>
              <w:t>，</w:t>
            </w:r>
            <w:r>
              <w:rPr>
                <w:rFonts w:hint="eastAsia" w:hAnsi="宋体"/>
                <w:szCs w:val="21"/>
              </w:rPr>
              <w:t>氨</w:t>
            </w:r>
            <w:r>
              <w:rPr>
                <w:rFonts w:hint="eastAsia" w:hAnsi="宋体"/>
                <w:szCs w:val="21"/>
                <w:lang w:val="de-DE"/>
              </w:rPr>
              <w:t>0.499t/</w:t>
            </w:r>
            <w:r>
              <w:rPr>
                <w:rFonts w:hint="eastAsia" w:hAnsi="宋体"/>
                <w:szCs w:val="21"/>
              </w:rPr>
              <w:t>吨尿素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2</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60" w:lineRule="auto"/>
              <w:jc w:val="center"/>
              <w:rPr>
                <w:rFonts w:ascii="宋体" w:hAnsi="宋体"/>
              </w:rPr>
            </w:pPr>
            <w:r>
              <w:rPr>
                <w:rFonts w:hint="eastAsia" w:ascii="宋体"/>
              </w:rPr>
              <w:t>CO</w:t>
            </w:r>
            <w:r>
              <w:rPr>
                <w:rFonts w:hint="eastAsia" w:ascii="宋体"/>
                <w:vertAlign w:val="subscript"/>
              </w:rPr>
              <w:t>2</w:t>
            </w:r>
            <w:r>
              <w:rPr>
                <w:rFonts w:hint="eastAsia" w:ascii="宋体"/>
              </w:rPr>
              <w:t>气</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spacing w:line="300" w:lineRule="exact"/>
              <w:jc w:val="center"/>
              <w:rPr>
                <w:color w:val="000000"/>
                <w:szCs w:val="21"/>
              </w:rPr>
            </w:pPr>
            <w:r>
              <w:rPr>
                <w:rFonts w:hint="eastAsia"/>
                <w:color w:val="000000"/>
                <w:szCs w:val="21"/>
              </w:rPr>
              <w:t>439956</w:t>
            </w:r>
            <w:r>
              <w:rPr>
                <w:szCs w:val="21"/>
              </w:rPr>
              <w:t xml:space="preserve"> t/a</w:t>
            </w:r>
          </w:p>
        </w:tc>
        <w:tc>
          <w:tcPr>
            <w:tcW w:w="2521" w:type="dxa"/>
            <w:tcMar>
              <w:left w:w="57" w:type="dxa"/>
              <w:right w:w="57" w:type="dxa"/>
            </w:tcMar>
            <w:vAlign w:val="center"/>
          </w:tcPr>
          <w:p>
            <w:pPr>
              <w:spacing w:line="300" w:lineRule="exact"/>
              <w:jc w:val="center"/>
              <w:rPr>
                <w:rFonts w:hAnsi="宋体"/>
                <w:szCs w:val="21"/>
              </w:rPr>
            </w:pPr>
            <w:r>
              <w:rPr>
                <w:rFonts w:hint="eastAsia" w:hAnsi="宋体"/>
                <w:szCs w:val="21"/>
              </w:rPr>
              <w:t>0.733</w:t>
            </w:r>
            <w:r>
              <w:rPr>
                <w:szCs w:val="21"/>
              </w:rPr>
              <w:t xml:space="preserve"> t/</w:t>
            </w:r>
            <w:r>
              <w:rPr>
                <w:rFonts w:hint="eastAsia"/>
                <w:szCs w:val="21"/>
              </w:rPr>
              <w:t>吨尿素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3</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00" w:lineRule="exact"/>
              <w:jc w:val="center"/>
              <w:rPr>
                <w:rFonts w:hAnsi="宋体"/>
                <w:szCs w:val="21"/>
              </w:rPr>
            </w:pPr>
            <w:r>
              <w:rPr>
                <w:rFonts w:hint="eastAsia"/>
              </w:rPr>
              <w:t>氨合成催化剂</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jc w:val="center"/>
              <w:rPr>
                <w:szCs w:val="21"/>
              </w:rPr>
            </w:pPr>
            <w:r>
              <w:rPr>
                <w:rFonts w:hint="eastAsia"/>
                <w:color w:val="000000"/>
                <w:szCs w:val="21"/>
              </w:rPr>
              <w:t>6.7</w:t>
            </w:r>
            <w:r>
              <w:rPr>
                <w:color w:val="000000"/>
                <w:szCs w:val="21"/>
              </w:rPr>
              <w:t xml:space="preserve"> m</w:t>
            </w:r>
            <w:r>
              <w:rPr>
                <w:color w:val="000000"/>
                <w:szCs w:val="21"/>
                <w:vertAlign w:val="superscript"/>
              </w:rPr>
              <w:t>3</w:t>
            </w:r>
          </w:p>
        </w:tc>
        <w:tc>
          <w:tcPr>
            <w:tcW w:w="2521" w:type="dxa"/>
            <w:tcMar>
              <w:left w:w="57" w:type="dxa"/>
              <w:right w:w="57" w:type="dxa"/>
            </w:tcMar>
            <w:vAlign w:val="center"/>
          </w:tcPr>
          <w:p>
            <w:pPr>
              <w:jc w:val="center"/>
              <w:rPr>
                <w:szCs w:val="21"/>
              </w:rPr>
            </w:pPr>
            <w:r>
              <w:rPr>
                <w:rFonts w:hAnsi="宋体"/>
                <w:szCs w:val="21"/>
              </w:rPr>
              <w:t>使用寿命</w:t>
            </w:r>
            <w:r>
              <w:rPr>
                <w:rFonts w:hint="eastAsia" w:hAnsi="宋体"/>
                <w:szCs w:val="21"/>
              </w:rPr>
              <w:t>10</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4</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00" w:lineRule="exact"/>
              <w:jc w:val="center"/>
              <w:rPr>
                <w:rFonts w:hAnsi="宋体"/>
                <w:szCs w:val="21"/>
              </w:rPr>
            </w:pPr>
            <w:r>
              <w:rPr>
                <w:rFonts w:hint="eastAsia"/>
              </w:rPr>
              <w:t>脱硫催化剂</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jc w:val="center"/>
              <w:rPr>
                <w:szCs w:val="21"/>
              </w:rPr>
            </w:pPr>
            <w:r>
              <w:rPr>
                <w:rFonts w:hint="eastAsia"/>
                <w:szCs w:val="21"/>
              </w:rPr>
              <w:t>63</w:t>
            </w:r>
            <w:r>
              <w:rPr>
                <w:color w:val="000000"/>
                <w:szCs w:val="21"/>
              </w:rPr>
              <w:t xml:space="preserve"> m</w:t>
            </w:r>
            <w:r>
              <w:rPr>
                <w:color w:val="000000"/>
                <w:szCs w:val="21"/>
                <w:vertAlign w:val="superscript"/>
              </w:rPr>
              <w:t>3</w:t>
            </w:r>
          </w:p>
        </w:tc>
        <w:tc>
          <w:tcPr>
            <w:tcW w:w="2521" w:type="dxa"/>
            <w:tcMar>
              <w:left w:w="57" w:type="dxa"/>
              <w:right w:w="57" w:type="dxa"/>
            </w:tcMar>
            <w:vAlign w:val="center"/>
          </w:tcPr>
          <w:p>
            <w:pPr>
              <w:jc w:val="center"/>
              <w:rPr>
                <w:szCs w:val="21"/>
              </w:rPr>
            </w:pPr>
            <w:r>
              <w:rPr>
                <w:rFonts w:hAnsi="宋体"/>
                <w:szCs w:val="21"/>
              </w:rPr>
              <w:t>使用寿命</w:t>
            </w:r>
            <w:r>
              <w:rPr>
                <w:rFonts w:hint="eastAsia" w:hAnsi="宋体"/>
                <w:szCs w:val="21"/>
              </w:rPr>
              <w:t>1</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5</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00" w:lineRule="exact"/>
              <w:jc w:val="center"/>
              <w:rPr>
                <w:rFonts w:hAnsi="宋体"/>
                <w:szCs w:val="21"/>
              </w:rPr>
            </w:pPr>
            <w:r>
              <w:rPr>
                <w:rFonts w:hint="eastAsia"/>
              </w:rPr>
              <w:t>脱氢催化剂</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jc w:val="center"/>
              <w:rPr>
                <w:szCs w:val="21"/>
              </w:rPr>
            </w:pPr>
            <w:r>
              <w:rPr>
                <w:rFonts w:hint="eastAsia"/>
                <w:color w:val="000000"/>
                <w:szCs w:val="21"/>
              </w:rPr>
              <w:t>2.2</w:t>
            </w:r>
            <w:r>
              <w:rPr>
                <w:color w:val="000000"/>
                <w:szCs w:val="21"/>
              </w:rPr>
              <w:t xml:space="preserve"> m</w:t>
            </w:r>
            <w:r>
              <w:rPr>
                <w:color w:val="000000"/>
                <w:szCs w:val="21"/>
                <w:vertAlign w:val="superscript"/>
              </w:rPr>
              <w:t>3</w:t>
            </w:r>
          </w:p>
        </w:tc>
        <w:tc>
          <w:tcPr>
            <w:tcW w:w="2521" w:type="dxa"/>
            <w:tcMar>
              <w:left w:w="57" w:type="dxa"/>
              <w:right w:w="57" w:type="dxa"/>
            </w:tcMar>
            <w:vAlign w:val="center"/>
          </w:tcPr>
          <w:p>
            <w:pPr>
              <w:jc w:val="center"/>
              <w:rPr>
                <w:szCs w:val="21"/>
              </w:rPr>
            </w:pPr>
            <w:r>
              <w:rPr>
                <w:rFonts w:hAnsi="宋体"/>
                <w:szCs w:val="21"/>
              </w:rPr>
              <w:t>使用寿命</w:t>
            </w:r>
            <w:r>
              <w:rPr>
                <w:rFonts w:hint="eastAsia" w:hAnsi="宋体"/>
                <w:szCs w:val="21"/>
              </w:rPr>
              <w:t>1</w:t>
            </w:r>
            <w:r>
              <w:rPr>
                <w:rFonts w:hint="eastAsia"/>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6</w:t>
            </w:r>
          </w:p>
        </w:tc>
        <w:tc>
          <w:tcPr>
            <w:tcW w:w="652" w:type="dxa"/>
            <w:vMerge w:val="continue"/>
            <w:tcMar>
              <w:left w:w="57" w:type="dxa"/>
              <w:right w:w="57" w:type="dxa"/>
            </w:tcMar>
            <w:vAlign w:val="center"/>
          </w:tcPr>
          <w:p>
            <w:pPr>
              <w:spacing w:line="300" w:lineRule="exact"/>
              <w:jc w:val="center"/>
              <w:rPr>
                <w:szCs w:val="21"/>
              </w:rPr>
            </w:pPr>
          </w:p>
        </w:tc>
        <w:tc>
          <w:tcPr>
            <w:tcW w:w="729" w:type="dxa"/>
            <w:vMerge w:val="restart"/>
            <w:tcMar>
              <w:left w:w="57" w:type="dxa"/>
              <w:right w:w="57" w:type="dxa"/>
            </w:tcMar>
            <w:vAlign w:val="center"/>
          </w:tcPr>
          <w:p>
            <w:pPr>
              <w:spacing w:line="300" w:lineRule="exact"/>
              <w:jc w:val="center"/>
              <w:rPr>
                <w:rFonts w:hAnsi="宋体"/>
                <w:szCs w:val="21"/>
              </w:rPr>
            </w:pPr>
            <w:r>
              <w:rPr>
                <w:rFonts w:hint="eastAsia" w:hAnsi="宋体"/>
                <w:szCs w:val="21"/>
              </w:rPr>
              <w:t>污水</w:t>
            </w:r>
          </w:p>
          <w:p>
            <w:pPr>
              <w:spacing w:line="300" w:lineRule="exact"/>
              <w:jc w:val="center"/>
              <w:rPr>
                <w:rFonts w:hAnsi="宋体"/>
                <w:szCs w:val="21"/>
              </w:rPr>
            </w:pPr>
            <w:r>
              <w:rPr>
                <w:rFonts w:hint="eastAsia" w:hAnsi="宋体"/>
                <w:szCs w:val="21"/>
              </w:rPr>
              <w:t>处理</w:t>
            </w:r>
          </w:p>
        </w:tc>
        <w:tc>
          <w:tcPr>
            <w:tcW w:w="1640" w:type="dxa"/>
            <w:tcMar>
              <w:left w:w="57" w:type="dxa"/>
              <w:right w:w="57" w:type="dxa"/>
            </w:tcMar>
            <w:vAlign w:val="center"/>
          </w:tcPr>
          <w:p>
            <w:pPr>
              <w:spacing w:line="300" w:lineRule="exact"/>
              <w:jc w:val="center"/>
              <w:rPr>
                <w:rFonts w:hAnsi="宋体"/>
                <w:szCs w:val="21"/>
              </w:rPr>
            </w:pPr>
            <w:r>
              <w:rPr>
                <w:rFonts w:hint="eastAsia" w:hAnsi="宋体"/>
                <w:szCs w:val="21"/>
              </w:rPr>
              <w:t>甲醇</w:t>
            </w:r>
          </w:p>
        </w:tc>
        <w:tc>
          <w:tcPr>
            <w:tcW w:w="1521" w:type="dxa"/>
            <w:tcMar>
              <w:left w:w="57" w:type="dxa"/>
              <w:right w:w="57" w:type="dxa"/>
            </w:tcMar>
            <w:vAlign w:val="center"/>
          </w:tcPr>
          <w:p>
            <w:pPr>
              <w:spacing w:line="300" w:lineRule="exact"/>
              <w:jc w:val="center"/>
              <w:rPr>
                <w:szCs w:val="21"/>
              </w:rPr>
            </w:pPr>
            <w:r>
              <w:rPr>
                <w:rFonts w:hint="eastAsia" w:hAnsi="宋体"/>
                <w:szCs w:val="21"/>
              </w:rPr>
              <w:t>废、次等甲醇</w:t>
            </w:r>
          </w:p>
        </w:tc>
        <w:tc>
          <w:tcPr>
            <w:tcW w:w="1560" w:type="dxa"/>
            <w:tcMar>
              <w:left w:w="57" w:type="dxa"/>
              <w:right w:w="57" w:type="dxa"/>
            </w:tcMar>
            <w:vAlign w:val="center"/>
          </w:tcPr>
          <w:p>
            <w:pPr>
              <w:spacing w:line="300" w:lineRule="exact"/>
              <w:jc w:val="center"/>
              <w:rPr>
                <w:szCs w:val="21"/>
              </w:rPr>
            </w:pPr>
            <w:r>
              <w:rPr>
                <w:rFonts w:hint="eastAsia"/>
                <w:szCs w:val="21"/>
              </w:rPr>
              <w:t>25</w:t>
            </w:r>
            <w:r>
              <w:rPr>
                <w:szCs w:val="21"/>
              </w:rPr>
              <w:t xml:space="preserve"> t/a</w:t>
            </w:r>
          </w:p>
        </w:tc>
        <w:tc>
          <w:tcPr>
            <w:tcW w:w="2521" w:type="dxa"/>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7</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00" w:lineRule="exact"/>
              <w:jc w:val="center"/>
              <w:rPr>
                <w:rFonts w:hAnsi="宋体"/>
                <w:szCs w:val="21"/>
              </w:rPr>
            </w:pPr>
            <w:r>
              <w:rPr>
                <w:rFonts w:hint="eastAsia" w:hAnsi="宋体"/>
                <w:szCs w:val="21"/>
              </w:rPr>
              <w:t>聚丙烯酰胺（PAM）</w:t>
            </w:r>
          </w:p>
        </w:tc>
        <w:tc>
          <w:tcPr>
            <w:tcW w:w="1521" w:type="dxa"/>
            <w:tcMar>
              <w:left w:w="57" w:type="dxa"/>
              <w:right w:w="57" w:type="dxa"/>
            </w:tcMar>
            <w:vAlign w:val="center"/>
          </w:tcPr>
          <w:p>
            <w:pPr>
              <w:spacing w:line="300" w:lineRule="exact"/>
              <w:jc w:val="center"/>
              <w:rPr>
                <w:szCs w:val="21"/>
              </w:rPr>
            </w:pPr>
            <w:r>
              <w:rPr>
                <w:rFonts w:hint="eastAsia"/>
                <w:szCs w:val="21"/>
              </w:rPr>
              <w:t>水处理剂</w:t>
            </w:r>
          </w:p>
        </w:tc>
        <w:tc>
          <w:tcPr>
            <w:tcW w:w="1560" w:type="dxa"/>
            <w:tcMar>
              <w:left w:w="57" w:type="dxa"/>
              <w:right w:w="57" w:type="dxa"/>
            </w:tcMar>
            <w:vAlign w:val="center"/>
          </w:tcPr>
          <w:p>
            <w:pPr>
              <w:spacing w:line="300" w:lineRule="exact"/>
              <w:jc w:val="center"/>
              <w:rPr>
                <w:szCs w:val="21"/>
              </w:rPr>
            </w:pPr>
            <w:r>
              <w:rPr>
                <w:rFonts w:hint="eastAsia"/>
                <w:szCs w:val="21"/>
              </w:rPr>
              <w:t>0.3</w:t>
            </w:r>
            <w:r>
              <w:rPr>
                <w:szCs w:val="21"/>
              </w:rPr>
              <w:t xml:space="preserve"> t/a</w:t>
            </w:r>
          </w:p>
        </w:tc>
        <w:tc>
          <w:tcPr>
            <w:tcW w:w="2521" w:type="dxa"/>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8</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pacing w:line="300" w:lineRule="exact"/>
              <w:jc w:val="center"/>
              <w:rPr>
                <w:rFonts w:hAnsi="宋体"/>
                <w:szCs w:val="21"/>
              </w:rPr>
            </w:pPr>
            <w:r>
              <w:rPr>
                <w:rFonts w:hint="eastAsia" w:hAnsi="宋体"/>
                <w:szCs w:val="21"/>
              </w:rPr>
              <w:t>烧碱</w:t>
            </w:r>
          </w:p>
        </w:tc>
        <w:tc>
          <w:tcPr>
            <w:tcW w:w="1521" w:type="dxa"/>
            <w:tcMar>
              <w:left w:w="57" w:type="dxa"/>
              <w:right w:w="57" w:type="dxa"/>
            </w:tcMar>
            <w:vAlign w:val="center"/>
          </w:tcPr>
          <w:p>
            <w:pPr>
              <w:spacing w:line="300" w:lineRule="exact"/>
              <w:jc w:val="center"/>
              <w:rPr>
                <w:szCs w:val="21"/>
              </w:rPr>
            </w:pPr>
            <w:r>
              <w:rPr>
                <w:rFonts w:hAnsi="宋体"/>
                <w:szCs w:val="21"/>
              </w:rPr>
              <w:t>20%NaOH</w:t>
            </w:r>
          </w:p>
        </w:tc>
        <w:tc>
          <w:tcPr>
            <w:tcW w:w="1560" w:type="dxa"/>
            <w:tcMar>
              <w:left w:w="57" w:type="dxa"/>
              <w:right w:w="57" w:type="dxa"/>
            </w:tcMar>
            <w:vAlign w:val="center"/>
          </w:tcPr>
          <w:p>
            <w:pPr>
              <w:spacing w:line="300" w:lineRule="exact"/>
              <w:jc w:val="center"/>
              <w:rPr>
                <w:szCs w:val="21"/>
              </w:rPr>
            </w:pPr>
            <w:r>
              <w:rPr>
                <w:rFonts w:hint="eastAsia"/>
                <w:szCs w:val="21"/>
              </w:rPr>
              <w:t>110</w:t>
            </w:r>
            <w:r>
              <w:rPr>
                <w:szCs w:val="21"/>
              </w:rPr>
              <w:t xml:space="preserve"> t/a</w:t>
            </w:r>
          </w:p>
        </w:tc>
        <w:tc>
          <w:tcPr>
            <w:tcW w:w="2521" w:type="dxa"/>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9</w:t>
            </w:r>
          </w:p>
        </w:tc>
        <w:tc>
          <w:tcPr>
            <w:tcW w:w="652" w:type="dxa"/>
            <w:vMerge w:val="continue"/>
            <w:tcMar>
              <w:left w:w="57" w:type="dxa"/>
              <w:right w:w="57" w:type="dxa"/>
            </w:tcMar>
            <w:vAlign w:val="center"/>
          </w:tcPr>
          <w:p>
            <w:pPr>
              <w:spacing w:line="300" w:lineRule="exact"/>
              <w:jc w:val="center"/>
              <w:rPr>
                <w:szCs w:val="21"/>
              </w:rPr>
            </w:pPr>
          </w:p>
        </w:tc>
        <w:tc>
          <w:tcPr>
            <w:tcW w:w="729" w:type="dxa"/>
            <w:vMerge w:val="restart"/>
            <w:tcMar>
              <w:left w:w="57" w:type="dxa"/>
              <w:right w:w="57" w:type="dxa"/>
            </w:tcMar>
            <w:vAlign w:val="center"/>
          </w:tcPr>
          <w:p>
            <w:pPr>
              <w:spacing w:line="300" w:lineRule="exact"/>
              <w:ind w:firstLine="105" w:firstLineChars="50"/>
              <w:rPr>
                <w:rFonts w:hAnsi="宋体"/>
                <w:szCs w:val="21"/>
              </w:rPr>
            </w:pPr>
            <w:r>
              <w:rPr>
                <w:rFonts w:hint="eastAsia" w:hAnsi="宋体"/>
                <w:szCs w:val="21"/>
              </w:rPr>
              <w:t>脱盐</w:t>
            </w:r>
          </w:p>
          <w:p>
            <w:pPr>
              <w:spacing w:line="300" w:lineRule="exact"/>
              <w:ind w:firstLine="105" w:firstLineChars="50"/>
              <w:rPr>
                <w:rFonts w:hAnsi="宋体"/>
                <w:szCs w:val="21"/>
              </w:rPr>
            </w:pPr>
            <w:r>
              <w:rPr>
                <w:rFonts w:hint="eastAsia" w:hAnsi="宋体"/>
                <w:szCs w:val="21"/>
              </w:rPr>
              <w:t>水站</w:t>
            </w:r>
          </w:p>
        </w:tc>
        <w:tc>
          <w:tcPr>
            <w:tcW w:w="1640" w:type="dxa"/>
            <w:tcMar>
              <w:left w:w="57" w:type="dxa"/>
              <w:right w:w="57" w:type="dxa"/>
            </w:tcMar>
            <w:vAlign w:val="center"/>
          </w:tcPr>
          <w:p>
            <w:pPr>
              <w:snapToGrid w:val="0"/>
              <w:jc w:val="center"/>
              <w:rPr>
                <w:rFonts w:ascii="宋体" w:hAnsi="宋体" w:cs="Arial"/>
                <w:kern w:val="0"/>
                <w:szCs w:val="21"/>
              </w:rPr>
            </w:pPr>
            <w:r>
              <w:rPr>
                <w:rFonts w:hint="eastAsia" w:ascii="宋体" w:hAnsi="宋体" w:cs="Arial"/>
                <w:kern w:val="0"/>
                <w:szCs w:val="21"/>
              </w:rPr>
              <w:t>阻垢剂</w:t>
            </w:r>
          </w:p>
        </w:tc>
        <w:tc>
          <w:tcPr>
            <w:tcW w:w="1521" w:type="dxa"/>
            <w:tcMar>
              <w:left w:w="57" w:type="dxa"/>
              <w:right w:w="57" w:type="dxa"/>
            </w:tcMar>
            <w:vAlign w:val="center"/>
          </w:tcPr>
          <w:p>
            <w:pPr>
              <w:spacing w:line="300" w:lineRule="exact"/>
              <w:jc w:val="center"/>
              <w:rPr>
                <w:rFonts w:hAnsi="宋体"/>
                <w:szCs w:val="21"/>
              </w:rPr>
            </w:pPr>
          </w:p>
        </w:tc>
        <w:tc>
          <w:tcPr>
            <w:tcW w:w="1560" w:type="dxa"/>
            <w:tcMar>
              <w:left w:w="57" w:type="dxa"/>
              <w:right w:w="57" w:type="dxa"/>
            </w:tcMar>
            <w:vAlign w:val="center"/>
          </w:tcPr>
          <w:p>
            <w:pPr>
              <w:pStyle w:val="11"/>
              <w:adjustRightInd w:val="0"/>
              <w:snapToGrid w:val="0"/>
              <w:jc w:val="center"/>
              <w:rPr>
                <w:rFonts w:ascii="Times New Roman" w:hAnsi="宋体" w:cs="Times New Roman"/>
              </w:rPr>
            </w:pPr>
            <w:r>
              <w:rPr>
                <w:rFonts w:hint="eastAsia" w:ascii="Times New Roman" w:hAnsi="宋体" w:cs="Times New Roman"/>
              </w:rPr>
              <w:t>2.6</w:t>
            </w:r>
            <w:r>
              <w:t xml:space="preserve"> t/a</w:t>
            </w:r>
          </w:p>
        </w:tc>
        <w:tc>
          <w:tcPr>
            <w:tcW w:w="2521" w:type="dxa"/>
            <w:vMerge w:val="restart"/>
            <w:tcMar>
              <w:left w:w="57" w:type="dxa"/>
              <w:right w:w="57" w:type="dxa"/>
            </w:tcMar>
            <w:vAlign w:val="center"/>
          </w:tcPr>
          <w:p>
            <w:pPr>
              <w:jc w:val="center"/>
              <w:rPr>
                <w:rFonts w:hAnsi="宋体"/>
                <w:szCs w:val="21"/>
              </w:rPr>
            </w:pPr>
            <w:r>
              <w:rPr>
                <w:rFonts w:hint="eastAsia" w:hAnsi="宋体"/>
                <w:szCs w:val="21"/>
              </w:rPr>
              <w:t>与盈德公司共用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10</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napToGrid w:val="0"/>
              <w:jc w:val="center"/>
              <w:rPr>
                <w:rFonts w:ascii="宋体" w:hAnsi="宋体" w:cs="Arial"/>
                <w:kern w:val="0"/>
                <w:szCs w:val="21"/>
              </w:rPr>
            </w:pPr>
            <w:r>
              <w:rPr>
                <w:rFonts w:hint="eastAsia" w:ascii="宋体" w:hAnsi="宋体" w:cs="Arial"/>
                <w:kern w:val="0"/>
                <w:szCs w:val="21"/>
              </w:rPr>
              <w:t>盐酸</w:t>
            </w:r>
          </w:p>
        </w:tc>
        <w:tc>
          <w:tcPr>
            <w:tcW w:w="1521" w:type="dxa"/>
            <w:tcMar>
              <w:left w:w="57" w:type="dxa"/>
              <w:right w:w="57" w:type="dxa"/>
            </w:tcMar>
            <w:vAlign w:val="center"/>
          </w:tcPr>
          <w:p>
            <w:pPr>
              <w:spacing w:line="300" w:lineRule="exact"/>
              <w:jc w:val="center"/>
              <w:rPr>
                <w:rFonts w:hAnsi="宋体"/>
                <w:szCs w:val="21"/>
              </w:rPr>
            </w:pPr>
            <w:r>
              <w:rPr>
                <w:rFonts w:hint="eastAsia" w:hAnsi="宋体"/>
                <w:szCs w:val="21"/>
              </w:rPr>
              <w:t>30</w:t>
            </w:r>
            <w:r>
              <w:rPr>
                <w:rFonts w:hAnsi="宋体"/>
                <w:szCs w:val="21"/>
              </w:rPr>
              <w:t>%H</w:t>
            </w:r>
            <w:r>
              <w:rPr>
                <w:rFonts w:hint="eastAsia" w:hAnsi="宋体"/>
                <w:szCs w:val="21"/>
              </w:rPr>
              <w:t>Cl</w:t>
            </w:r>
          </w:p>
        </w:tc>
        <w:tc>
          <w:tcPr>
            <w:tcW w:w="1560" w:type="dxa"/>
            <w:tcMar>
              <w:left w:w="57" w:type="dxa"/>
              <w:right w:w="57" w:type="dxa"/>
            </w:tcMar>
            <w:vAlign w:val="center"/>
          </w:tcPr>
          <w:p>
            <w:pPr>
              <w:pStyle w:val="11"/>
              <w:adjustRightInd w:val="0"/>
              <w:snapToGrid w:val="0"/>
              <w:jc w:val="center"/>
              <w:rPr>
                <w:rFonts w:ascii="Times New Roman" w:hAnsi="宋体" w:cs="Times New Roman"/>
              </w:rPr>
            </w:pPr>
            <w:r>
              <w:rPr>
                <w:rFonts w:hint="eastAsia" w:ascii="Times New Roman" w:hAnsi="宋体" w:cs="Times New Roman"/>
              </w:rPr>
              <w:t>91</w:t>
            </w:r>
            <w:r>
              <w:t xml:space="preserve"> t/a</w:t>
            </w:r>
          </w:p>
        </w:tc>
        <w:tc>
          <w:tcPr>
            <w:tcW w:w="2521" w:type="dxa"/>
            <w:vMerge w:val="continue"/>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11</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napToGrid w:val="0"/>
              <w:jc w:val="center"/>
              <w:rPr>
                <w:rFonts w:ascii="宋体" w:hAnsi="宋体" w:cs="Arial"/>
                <w:kern w:val="0"/>
                <w:szCs w:val="21"/>
              </w:rPr>
            </w:pPr>
            <w:r>
              <w:rPr>
                <w:rFonts w:hint="eastAsia" w:ascii="宋体" w:hAnsi="宋体" w:cs="Arial"/>
                <w:szCs w:val="21"/>
              </w:rPr>
              <w:t>烧</w:t>
            </w:r>
            <w:r>
              <w:rPr>
                <w:rFonts w:ascii="宋体" w:hAnsi="宋体" w:cs="Arial"/>
                <w:szCs w:val="21"/>
              </w:rPr>
              <w:t>碱</w:t>
            </w:r>
          </w:p>
        </w:tc>
        <w:tc>
          <w:tcPr>
            <w:tcW w:w="1521" w:type="dxa"/>
            <w:tcMar>
              <w:left w:w="57" w:type="dxa"/>
              <w:right w:w="57" w:type="dxa"/>
            </w:tcMar>
            <w:vAlign w:val="center"/>
          </w:tcPr>
          <w:p>
            <w:pPr>
              <w:spacing w:line="300" w:lineRule="exact"/>
              <w:jc w:val="center"/>
              <w:rPr>
                <w:rFonts w:hAnsi="宋体"/>
                <w:szCs w:val="21"/>
              </w:rPr>
            </w:pPr>
            <w:r>
              <w:rPr>
                <w:rFonts w:hAnsi="宋体"/>
                <w:szCs w:val="21"/>
              </w:rPr>
              <w:t>30%NaOH</w:t>
            </w:r>
          </w:p>
        </w:tc>
        <w:tc>
          <w:tcPr>
            <w:tcW w:w="1560" w:type="dxa"/>
            <w:tcMar>
              <w:left w:w="57" w:type="dxa"/>
              <w:right w:w="57" w:type="dxa"/>
            </w:tcMar>
            <w:vAlign w:val="center"/>
          </w:tcPr>
          <w:p>
            <w:pPr>
              <w:adjustRightInd w:val="0"/>
              <w:snapToGrid w:val="0"/>
              <w:jc w:val="center"/>
              <w:rPr>
                <w:rFonts w:hAnsi="宋体"/>
                <w:szCs w:val="21"/>
              </w:rPr>
            </w:pPr>
            <w:r>
              <w:rPr>
                <w:rFonts w:hint="eastAsia" w:hAnsi="宋体"/>
                <w:szCs w:val="21"/>
              </w:rPr>
              <w:t>73.5</w:t>
            </w:r>
            <w:r>
              <w:rPr>
                <w:szCs w:val="21"/>
              </w:rPr>
              <w:t xml:space="preserve"> t/a</w:t>
            </w:r>
          </w:p>
        </w:tc>
        <w:tc>
          <w:tcPr>
            <w:tcW w:w="2521" w:type="dxa"/>
            <w:vMerge w:val="continue"/>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12</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napToGrid w:val="0"/>
              <w:jc w:val="center"/>
              <w:rPr>
                <w:rFonts w:ascii="宋体" w:hAnsi="宋体" w:cs="Arial"/>
                <w:szCs w:val="21"/>
              </w:rPr>
            </w:pPr>
            <w:r>
              <w:rPr>
                <w:rFonts w:hint="eastAsia" w:ascii="宋体" w:hAnsi="宋体"/>
                <w:szCs w:val="21"/>
              </w:rPr>
              <w:t>强酸阳树脂</w:t>
            </w:r>
          </w:p>
        </w:tc>
        <w:tc>
          <w:tcPr>
            <w:tcW w:w="1521" w:type="dxa"/>
            <w:tcMar>
              <w:left w:w="57" w:type="dxa"/>
              <w:right w:w="57" w:type="dxa"/>
            </w:tcMar>
            <w:vAlign w:val="center"/>
          </w:tcPr>
          <w:p>
            <w:pPr>
              <w:spacing w:line="300" w:lineRule="exact"/>
              <w:jc w:val="center"/>
              <w:rPr>
                <w:rFonts w:hAnsi="宋体"/>
                <w:szCs w:val="21"/>
              </w:rPr>
            </w:pPr>
            <w:r>
              <w:rPr>
                <w:rFonts w:hint="eastAsia" w:hAnsi="宋体"/>
                <w:szCs w:val="21"/>
              </w:rPr>
              <w:t>001</w:t>
            </w:r>
            <w:r>
              <w:rPr>
                <w:rFonts w:hAnsi="宋体"/>
                <w:szCs w:val="21"/>
              </w:rPr>
              <w:t>×</w:t>
            </w:r>
            <w:r>
              <w:rPr>
                <w:rFonts w:hint="eastAsia" w:hAnsi="宋体"/>
                <w:szCs w:val="21"/>
              </w:rPr>
              <w:t>7MB</w:t>
            </w:r>
          </w:p>
        </w:tc>
        <w:tc>
          <w:tcPr>
            <w:tcW w:w="1560" w:type="dxa"/>
            <w:tcMar>
              <w:left w:w="57" w:type="dxa"/>
              <w:right w:w="57" w:type="dxa"/>
            </w:tcMar>
            <w:vAlign w:val="center"/>
          </w:tcPr>
          <w:p>
            <w:pPr>
              <w:adjustRightInd w:val="0"/>
              <w:snapToGrid w:val="0"/>
              <w:jc w:val="center"/>
              <w:rPr>
                <w:rFonts w:hAnsi="宋体"/>
                <w:szCs w:val="21"/>
              </w:rPr>
            </w:pPr>
            <w:r>
              <w:rPr>
                <w:rFonts w:hint="eastAsia" w:hAnsi="宋体"/>
                <w:szCs w:val="21"/>
              </w:rPr>
              <w:t>0.8</w:t>
            </w:r>
            <w:r>
              <w:rPr>
                <w:szCs w:val="21"/>
              </w:rPr>
              <w:t xml:space="preserve"> t/a</w:t>
            </w:r>
          </w:p>
        </w:tc>
        <w:tc>
          <w:tcPr>
            <w:tcW w:w="2521" w:type="dxa"/>
            <w:vMerge w:val="continue"/>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13</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napToGrid w:val="0"/>
              <w:jc w:val="center"/>
              <w:rPr>
                <w:rFonts w:ascii="宋体" w:hAnsi="宋体" w:cs="Arial"/>
                <w:szCs w:val="21"/>
              </w:rPr>
            </w:pPr>
            <w:r>
              <w:rPr>
                <w:rFonts w:hint="eastAsia" w:ascii="宋体" w:hAnsi="宋体"/>
                <w:szCs w:val="21"/>
              </w:rPr>
              <w:t>强碱阴树脂</w:t>
            </w:r>
          </w:p>
        </w:tc>
        <w:tc>
          <w:tcPr>
            <w:tcW w:w="1521" w:type="dxa"/>
            <w:tcMar>
              <w:left w:w="57" w:type="dxa"/>
              <w:right w:w="57" w:type="dxa"/>
            </w:tcMar>
            <w:vAlign w:val="center"/>
          </w:tcPr>
          <w:p>
            <w:pPr>
              <w:spacing w:line="300" w:lineRule="exact"/>
              <w:jc w:val="center"/>
              <w:rPr>
                <w:rFonts w:hAnsi="宋体"/>
                <w:szCs w:val="21"/>
              </w:rPr>
            </w:pPr>
            <w:r>
              <w:rPr>
                <w:rFonts w:hAnsi="宋体"/>
                <w:szCs w:val="21"/>
              </w:rPr>
              <w:t>201×7MB</w:t>
            </w:r>
          </w:p>
        </w:tc>
        <w:tc>
          <w:tcPr>
            <w:tcW w:w="1560" w:type="dxa"/>
            <w:tcMar>
              <w:left w:w="57" w:type="dxa"/>
              <w:right w:w="57" w:type="dxa"/>
            </w:tcMar>
            <w:vAlign w:val="center"/>
          </w:tcPr>
          <w:p>
            <w:pPr>
              <w:adjustRightInd w:val="0"/>
              <w:snapToGrid w:val="0"/>
              <w:jc w:val="center"/>
              <w:rPr>
                <w:rFonts w:hAnsi="宋体"/>
                <w:szCs w:val="21"/>
              </w:rPr>
            </w:pPr>
            <w:r>
              <w:rPr>
                <w:rFonts w:hint="eastAsia" w:hAnsi="宋体"/>
                <w:szCs w:val="21"/>
              </w:rPr>
              <w:t>1.9</w:t>
            </w:r>
            <w:r>
              <w:rPr>
                <w:szCs w:val="21"/>
              </w:rPr>
              <w:t xml:space="preserve"> t/a</w:t>
            </w:r>
          </w:p>
        </w:tc>
        <w:tc>
          <w:tcPr>
            <w:tcW w:w="2521" w:type="dxa"/>
            <w:vMerge w:val="continue"/>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14</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spacing w:line="300" w:lineRule="exact"/>
              <w:jc w:val="center"/>
              <w:rPr>
                <w:rFonts w:hAnsi="宋体"/>
                <w:szCs w:val="21"/>
              </w:rPr>
            </w:pPr>
          </w:p>
        </w:tc>
        <w:tc>
          <w:tcPr>
            <w:tcW w:w="1640" w:type="dxa"/>
            <w:tcMar>
              <w:left w:w="57" w:type="dxa"/>
              <w:right w:w="57" w:type="dxa"/>
            </w:tcMar>
            <w:vAlign w:val="center"/>
          </w:tcPr>
          <w:p>
            <w:pPr>
              <w:snapToGrid w:val="0"/>
              <w:jc w:val="center"/>
              <w:rPr>
                <w:rFonts w:ascii="宋体" w:hAnsi="宋体"/>
                <w:szCs w:val="21"/>
              </w:rPr>
            </w:pPr>
            <w:r>
              <w:rPr>
                <w:rFonts w:hint="eastAsia" w:ascii="宋体" w:hAnsi="宋体"/>
                <w:szCs w:val="21"/>
              </w:rPr>
              <w:t>强酸阳树脂</w:t>
            </w:r>
          </w:p>
        </w:tc>
        <w:tc>
          <w:tcPr>
            <w:tcW w:w="1521" w:type="dxa"/>
            <w:tcMar>
              <w:left w:w="57" w:type="dxa"/>
              <w:right w:w="57" w:type="dxa"/>
            </w:tcMar>
            <w:vAlign w:val="center"/>
          </w:tcPr>
          <w:p>
            <w:pPr>
              <w:spacing w:line="300" w:lineRule="exact"/>
              <w:jc w:val="center"/>
              <w:rPr>
                <w:rFonts w:hAnsi="宋体"/>
                <w:szCs w:val="21"/>
              </w:rPr>
            </w:pPr>
            <w:r>
              <w:rPr>
                <w:rFonts w:hint="eastAsia" w:hAnsi="宋体"/>
                <w:szCs w:val="21"/>
              </w:rPr>
              <w:t>001</w:t>
            </w:r>
            <w:r>
              <w:rPr>
                <w:rFonts w:hAnsi="宋体"/>
                <w:szCs w:val="21"/>
              </w:rPr>
              <w:t>×</w:t>
            </w:r>
            <w:r>
              <w:rPr>
                <w:rFonts w:hint="eastAsia" w:hAnsi="宋体"/>
                <w:szCs w:val="21"/>
              </w:rPr>
              <w:t>7</w:t>
            </w:r>
            <w:r>
              <w:rPr>
                <w:rFonts w:hAnsi="宋体"/>
                <w:szCs w:val="21"/>
              </w:rPr>
              <w:t>FC</w:t>
            </w:r>
          </w:p>
        </w:tc>
        <w:tc>
          <w:tcPr>
            <w:tcW w:w="1560" w:type="dxa"/>
            <w:tcMar>
              <w:left w:w="57" w:type="dxa"/>
              <w:right w:w="57" w:type="dxa"/>
            </w:tcMar>
            <w:vAlign w:val="center"/>
          </w:tcPr>
          <w:p>
            <w:pPr>
              <w:adjustRightInd w:val="0"/>
              <w:snapToGrid w:val="0"/>
              <w:jc w:val="center"/>
              <w:rPr>
                <w:rFonts w:hAnsi="宋体"/>
                <w:szCs w:val="21"/>
              </w:rPr>
            </w:pPr>
            <w:r>
              <w:rPr>
                <w:rFonts w:hint="eastAsia" w:hAnsi="宋体"/>
                <w:szCs w:val="21"/>
              </w:rPr>
              <w:t>5.9</w:t>
            </w:r>
            <w:r>
              <w:rPr>
                <w:szCs w:val="21"/>
              </w:rPr>
              <w:t xml:space="preserve"> t/a</w:t>
            </w:r>
          </w:p>
        </w:tc>
        <w:tc>
          <w:tcPr>
            <w:tcW w:w="2521" w:type="dxa"/>
            <w:vMerge w:val="continue"/>
            <w:tcMar>
              <w:left w:w="57" w:type="dxa"/>
              <w:right w:w="57" w:type="dxa"/>
            </w:tcMar>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15</w:t>
            </w:r>
          </w:p>
        </w:tc>
        <w:tc>
          <w:tcPr>
            <w:tcW w:w="652" w:type="dxa"/>
            <w:vMerge w:val="continue"/>
            <w:tcMar>
              <w:left w:w="57" w:type="dxa"/>
              <w:right w:w="57" w:type="dxa"/>
            </w:tcMar>
            <w:vAlign w:val="center"/>
          </w:tcPr>
          <w:p>
            <w:pPr>
              <w:spacing w:line="300" w:lineRule="exact"/>
              <w:jc w:val="center"/>
              <w:rPr>
                <w:szCs w:val="21"/>
              </w:rPr>
            </w:pPr>
          </w:p>
        </w:tc>
        <w:tc>
          <w:tcPr>
            <w:tcW w:w="729" w:type="dxa"/>
            <w:vMerge w:val="restart"/>
            <w:tcMar>
              <w:left w:w="57" w:type="dxa"/>
              <w:right w:w="57" w:type="dxa"/>
            </w:tcMar>
            <w:vAlign w:val="center"/>
          </w:tcPr>
          <w:p>
            <w:pPr>
              <w:pStyle w:val="57"/>
              <w:spacing w:line="280" w:lineRule="exact"/>
              <w:rPr>
                <w:rFonts w:ascii="Times New Roman" w:hAnsi="Times New Roman"/>
                <w:color w:val="000000"/>
                <w:kern w:val="0"/>
                <w:szCs w:val="21"/>
              </w:rPr>
            </w:pPr>
            <w:r>
              <w:rPr>
                <w:rFonts w:hint="eastAsia" w:hAnsi="宋体"/>
                <w:szCs w:val="21"/>
              </w:rPr>
              <w:t>合成氨及尿素</w:t>
            </w:r>
          </w:p>
        </w:tc>
        <w:tc>
          <w:tcPr>
            <w:tcW w:w="1640" w:type="dxa"/>
            <w:tcMar>
              <w:left w:w="57" w:type="dxa"/>
              <w:right w:w="57" w:type="dxa"/>
            </w:tcMar>
            <w:vAlign w:val="center"/>
          </w:tcPr>
          <w:p>
            <w:pPr>
              <w:pStyle w:val="57"/>
              <w:spacing w:line="280" w:lineRule="exact"/>
              <w:rPr>
                <w:rFonts w:ascii="Times New Roman" w:hAnsi="Times New Roman"/>
                <w:color w:val="000000"/>
                <w:kern w:val="0"/>
                <w:szCs w:val="21"/>
              </w:rPr>
            </w:pPr>
            <w:r>
              <w:rPr>
                <w:rFonts w:hint="eastAsia" w:ascii="Times New Roman" w:hAnsi="Times New Roman"/>
                <w:color w:val="000000"/>
                <w:kern w:val="0"/>
                <w:szCs w:val="21"/>
              </w:rPr>
              <w:t>电</w:t>
            </w:r>
          </w:p>
        </w:tc>
        <w:tc>
          <w:tcPr>
            <w:tcW w:w="1521" w:type="dxa"/>
            <w:tcMar>
              <w:left w:w="57" w:type="dxa"/>
              <w:right w:w="57" w:type="dxa"/>
            </w:tcMar>
            <w:vAlign w:val="center"/>
          </w:tcPr>
          <w:p>
            <w:pPr>
              <w:pStyle w:val="57"/>
              <w:spacing w:line="280" w:lineRule="exact"/>
              <w:rPr>
                <w:rFonts w:ascii="Times New Roman" w:hAnsi="Times New Roman"/>
                <w:color w:val="000000"/>
                <w:kern w:val="0"/>
                <w:szCs w:val="21"/>
              </w:rPr>
            </w:pPr>
          </w:p>
        </w:tc>
        <w:tc>
          <w:tcPr>
            <w:tcW w:w="1560" w:type="dxa"/>
            <w:tcMar>
              <w:left w:w="57" w:type="dxa"/>
              <w:right w:w="57" w:type="dxa"/>
            </w:tcMar>
            <w:vAlign w:val="center"/>
          </w:tcPr>
          <w:p>
            <w:pPr>
              <w:pStyle w:val="57"/>
              <w:spacing w:line="280" w:lineRule="exact"/>
              <w:rPr>
                <w:rFonts w:ascii="Times New Roman" w:hAnsi="Times New Roman"/>
                <w:color w:val="000000"/>
                <w:kern w:val="0"/>
                <w:szCs w:val="21"/>
              </w:rPr>
            </w:pPr>
            <w:r>
              <w:rPr>
                <w:rFonts w:hint="eastAsia" w:ascii="Times New Roman" w:hAnsi="Times New Roman"/>
                <w:color w:val="000000"/>
                <w:kern w:val="0"/>
                <w:szCs w:val="21"/>
              </w:rPr>
              <w:t>2.49</w:t>
            </w:r>
            <w:r>
              <w:rPr>
                <w:rFonts w:ascii="Times New Roman" w:hAnsi="Times New Roman"/>
                <w:color w:val="000000"/>
                <w:kern w:val="0"/>
                <w:szCs w:val="21"/>
              </w:rPr>
              <w:t>×10</w:t>
            </w:r>
            <w:r>
              <w:rPr>
                <w:rFonts w:hint="eastAsia" w:ascii="Times New Roman" w:hAnsi="Times New Roman"/>
                <w:color w:val="000000"/>
                <w:kern w:val="0"/>
                <w:szCs w:val="21"/>
                <w:vertAlign w:val="superscript"/>
              </w:rPr>
              <w:t>8</w:t>
            </w:r>
            <w:r>
              <w:rPr>
                <w:rFonts w:ascii="Times New Roman" w:hAnsi="Times New Roman"/>
                <w:color w:val="000000"/>
                <w:kern w:val="0"/>
                <w:szCs w:val="21"/>
              </w:rPr>
              <w:t xml:space="preserve"> kWh/a</w:t>
            </w:r>
          </w:p>
        </w:tc>
        <w:tc>
          <w:tcPr>
            <w:tcW w:w="2521" w:type="dxa"/>
            <w:tcMar>
              <w:left w:w="57" w:type="dxa"/>
              <w:right w:w="57" w:type="dxa"/>
            </w:tcMar>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16</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pStyle w:val="57"/>
              <w:spacing w:line="280" w:lineRule="exact"/>
              <w:rPr>
                <w:rFonts w:ascii="Times New Roman" w:hAnsi="Times New Roman"/>
                <w:color w:val="000000"/>
                <w:kern w:val="0"/>
                <w:szCs w:val="21"/>
              </w:rPr>
            </w:pPr>
          </w:p>
        </w:tc>
        <w:tc>
          <w:tcPr>
            <w:tcW w:w="1640" w:type="dxa"/>
            <w:tcMar>
              <w:left w:w="57" w:type="dxa"/>
              <w:right w:w="57" w:type="dxa"/>
            </w:tcMar>
            <w:vAlign w:val="center"/>
          </w:tcPr>
          <w:p>
            <w:pPr>
              <w:spacing w:line="300" w:lineRule="exact"/>
              <w:jc w:val="center"/>
              <w:rPr>
                <w:szCs w:val="21"/>
              </w:rPr>
            </w:pPr>
            <w:r>
              <w:rPr>
                <w:rFonts w:hint="eastAsia" w:hAnsi="宋体"/>
                <w:szCs w:val="21"/>
              </w:rPr>
              <w:t>天然气</w:t>
            </w:r>
          </w:p>
        </w:tc>
        <w:tc>
          <w:tcPr>
            <w:tcW w:w="1521" w:type="dxa"/>
            <w:tcMar>
              <w:left w:w="57" w:type="dxa"/>
              <w:right w:w="57" w:type="dxa"/>
            </w:tcMar>
            <w:vAlign w:val="center"/>
          </w:tcPr>
          <w:p>
            <w:pPr>
              <w:spacing w:line="300" w:lineRule="exact"/>
              <w:jc w:val="center"/>
              <w:rPr>
                <w:szCs w:val="21"/>
              </w:rPr>
            </w:pPr>
          </w:p>
        </w:tc>
        <w:tc>
          <w:tcPr>
            <w:tcW w:w="1560" w:type="dxa"/>
            <w:tcMar>
              <w:left w:w="57" w:type="dxa"/>
              <w:right w:w="57" w:type="dxa"/>
            </w:tcMar>
            <w:vAlign w:val="center"/>
          </w:tcPr>
          <w:p>
            <w:pPr>
              <w:spacing w:line="360" w:lineRule="auto"/>
              <w:jc w:val="center"/>
              <w:rPr>
                <w:rFonts w:ascii="宋体" w:hAnsi="宋体"/>
              </w:rPr>
            </w:pPr>
            <w:r>
              <w:rPr>
                <w:rFonts w:hint="eastAsia"/>
                <w:szCs w:val="21"/>
              </w:rPr>
              <w:t>864000 Nm</w:t>
            </w:r>
            <w:r>
              <w:rPr>
                <w:rFonts w:hint="eastAsia"/>
                <w:szCs w:val="21"/>
                <w:vertAlign w:val="superscript"/>
              </w:rPr>
              <w:t>3</w:t>
            </w:r>
            <w:r>
              <w:rPr>
                <w:color w:val="000000"/>
                <w:kern w:val="0"/>
                <w:szCs w:val="21"/>
              </w:rPr>
              <w:t>/a</w:t>
            </w:r>
          </w:p>
        </w:tc>
        <w:tc>
          <w:tcPr>
            <w:tcW w:w="2521" w:type="dxa"/>
            <w:tcMar>
              <w:left w:w="57" w:type="dxa"/>
              <w:right w:w="57" w:type="dxa"/>
            </w:tcMar>
            <w:vAlign w:val="center"/>
          </w:tcPr>
          <w:p>
            <w:pPr>
              <w:spacing w:line="300" w:lineRule="exact"/>
              <w:jc w:val="left"/>
              <w:rPr>
                <w:szCs w:val="21"/>
              </w:rPr>
            </w:pPr>
            <w:r>
              <w:rPr>
                <w:rFonts w:hint="eastAsia" w:ascii="宋体" w:hAnsi="宋体"/>
              </w:rPr>
              <w:t>合成氨合成塔开工炉用、尿素装置水解蒸汽加热器用液氮洗尾气配天然气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17</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pStyle w:val="57"/>
              <w:spacing w:line="280" w:lineRule="exact"/>
              <w:rPr>
                <w:rFonts w:ascii="Times New Roman" w:hAnsi="Times New Roman"/>
                <w:color w:val="000000"/>
                <w:kern w:val="0"/>
                <w:szCs w:val="21"/>
              </w:rPr>
            </w:pPr>
          </w:p>
        </w:tc>
        <w:tc>
          <w:tcPr>
            <w:tcW w:w="1640" w:type="dxa"/>
            <w:tcMar>
              <w:left w:w="57" w:type="dxa"/>
              <w:right w:w="57" w:type="dxa"/>
            </w:tcMar>
            <w:vAlign w:val="center"/>
          </w:tcPr>
          <w:p>
            <w:pPr>
              <w:pStyle w:val="57"/>
              <w:spacing w:line="280" w:lineRule="exact"/>
              <w:rPr>
                <w:rFonts w:ascii="Times New Roman" w:hAnsi="Times New Roman"/>
                <w:color w:val="000000"/>
                <w:kern w:val="0"/>
                <w:szCs w:val="21"/>
              </w:rPr>
            </w:pPr>
            <w:r>
              <w:rPr>
                <w:rFonts w:hint="eastAsia" w:ascii="Times New Roman" w:hAnsi="Times New Roman"/>
                <w:color w:val="000000"/>
                <w:kern w:val="0"/>
                <w:szCs w:val="21"/>
              </w:rPr>
              <w:t>一次水</w:t>
            </w:r>
          </w:p>
        </w:tc>
        <w:tc>
          <w:tcPr>
            <w:tcW w:w="1521" w:type="dxa"/>
            <w:tcMar>
              <w:left w:w="57" w:type="dxa"/>
              <w:right w:w="57" w:type="dxa"/>
            </w:tcMar>
            <w:vAlign w:val="center"/>
          </w:tcPr>
          <w:p>
            <w:pPr>
              <w:pStyle w:val="57"/>
              <w:spacing w:line="280" w:lineRule="exact"/>
              <w:rPr>
                <w:rFonts w:ascii="Times New Roman" w:hAnsi="Times New Roman"/>
                <w:color w:val="000000"/>
                <w:kern w:val="0"/>
                <w:szCs w:val="21"/>
              </w:rPr>
            </w:pPr>
          </w:p>
        </w:tc>
        <w:tc>
          <w:tcPr>
            <w:tcW w:w="1560" w:type="dxa"/>
            <w:tcMar>
              <w:left w:w="57" w:type="dxa"/>
              <w:right w:w="57" w:type="dxa"/>
            </w:tcMar>
            <w:vAlign w:val="center"/>
          </w:tcPr>
          <w:p>
            <w:pPr>
              <w:pStyle w:val="57"/>
              <w:spacing w:line="280" w:lineRule="exact"/>
              <w:rPr>
                <w:rFonts w:ascii="Times New Roman" w:hAnsi="Times New Roman"/>
                <w:color w:val="000000"/>
                <w:kern w:val="0"/>
                <w:szCs w:val="21"/>
              </w:rPr>
            </w:pPr>
            <w:r>
              <w:rPr>
                <w:rFonts w:hint="eastAsia" w:ascii="Times New Roman" w:hAnsi="Times New Roman"/>
                <w:kern w:val="0"/>
                <w:szCs w:val="21"/>
              </w:rPr>
              <w:t>537</w:t>
            </w:r>
            <w:r>
              <w:rPr>
                <w:rFonts w:ascii="Times New Roman" w:hAnsi="Times New Roman"/>
                <w:kern w:val="0"/>
                <w:szCs w:val="21"/>
              </w:rPr>
              <w:t xml:space="preserve"> m</w:t>
            </w:r>
            <w:r>
              <w:rPr>
                <w:rFonts w:ascii="Times New Roman" w:hAnsi="Times New Roman"/>
                <w:kern w:val="0"/>
                <w:szCs w:val="21"/>
                <w:vertAlign w:val="superscript"/>
              </w:rPr>
              <w:t>3</w:t>
            </w:r>
            <w:r>
              <w:rPr>
                <w:rFonts w:ascii="Times New Roman" w:hAnsi="Times New Roman"/>
                <w:kern w:val="0"/>
                <w:szCs w:val="21"/>
              </w:rPr>
              <w:t>/h</w:t>
            </w:r>
          </w:p>
        </w:tc>
        <w:tc>
          <w:tcPr>
            <w:tcW w:w="2521" w:type="dxa"/>
            <w:tcMar>
              <w:left w:w="57" w:type="dxa"/>
              <w:right w:w="57" w:type="dxa"/>
            </w:tcMar>
            <w:vAlign w:val="center"/>
          </w:tcPr>
          <w:p>
            <w:pPr>
              <w:spacing w:line="3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18</w:t>
            </w:r>
          </w:p>
        </w:tc>
        <w:tc>
          <w:tcPr>
            <w:tcW w:w="652" w:type="dxa"/>
            <w:vMerge w:val="continue"/>
            <w:tcMar>
              <w:left w:w="57" w:type="dxa"/>
              <w:right w:w="57" w:type="dxa"/>
            </w:tcMar>
            <w:vAlign w:val="center"/>
          </w:tcPr>
          <w:p>
            <w:pPr>
              <w:spacing w:line="300" w:lineRule="exact"/>
              <w:jc w:val="center"/>
              <w:rPr>
                <w:szCs w:val="21"/>
              </w:rPr>
            </w:pPr>
          </w:p>
        </w:tc>
        <w:tc>
          <w:tcPr>
            <w:tcW w:w="729" w:type="dxa"/>
            <w:vMerge w:val="restart"/>
            <w:tcMar>
              <w:left w:w="57" w:type="dxa"/>
              <w:right w:w="57" w:type="dxa"/>
            </w:tcMar>
            <w:vAlign w:val="center"/>
          </w:tcPr>
          <w:p>
            <w:pPr>
              <w:pStyle w:val="57"/>
              <w:spacing w:line="280" w:lineRule="exact"/>
              <w:rPr>
                <w:rFonts w:ascii="Times New Roman" w:hAnsi="Times New Roman"/>
                <w:color w:val="000000"/>
                <w:kern w:val="0"/>
                <w:szCs w:val="21"/>
              </w:rPr>
            </w:pPr>
            <w:r>
              <w:rPr>
                <w:rFonts w:hint="eastAsia" w:ascii="Times New Roman" w:hAnsi="Times New Roman"/>
                <w:color w:val="000000"/>
                <w:kern w:val="0"/>
                <w:szCs w:val="21"/>
              </w:rPr>
              <w:t>脱盐水站</w:t>
            </w:r>
          </w:p>
        </w:tc>
        <w:tc>
          <w:tcPr>
            <w:tcW w:w="1640" w:type="dxa"/>
            <w:tcMar>
              <w:left w:w="57" w:type="dxa"/>
              <w:right w:w="57" w:type="dxa"/>
            </w:tcMar>
            <w:vAlign w:val="center"/>
          </w:tcPr>
          <w:p>
            <w:pPr>
              <w:snapToGrid w:val="0"/>
              <w:jc w:val="center"/>
              <w:rPr>
                <w:rFonts w:ascii="宋体" w:hAnsi="宋体" w:cs="Arial"/>
                <w:kern w:val="0"/>
                <w:szCs w:val="21"/>
              </w:rPr>
            </w:pPr>
            <w:r>
              <w:rPr>
                <w:rFonts w:hint="eastAsia"/>
                <w:color w:val="000000"/>
                <w:kern w:val="0"/>
                <w:szCs w:val="21"/>
              </w:rPr>
              <w:t>一次水</w:t>
            </w:r>
          </w:p>
        </w:tc>
        <w:tc>
          <w:tcPr>
            <w:tcW w:w="1521" w:type="dxa"/>
            <w:tcMar>
              <w:left w:w="57" w:type="dxa"/>
              <w:right w:w="57" w:type="dxa"/>
            </w:tcMar>
            <w:vAlign w:val="center"/>
          </w:tcPr>
          <w:p>
            <w:pPr>
              <w:pStyle w:val="58"/>
              <w:spacing w:line="280" w:lineRule="exact"/>
              <w:rPr>
                <w:color w:val="000000"/>
                <w:kern w:val="0"/>
                <w:szCs w:val="21"/>
              </w:rPr>
            </w:pPr>
          </w:p>
        </w:tc>
        <w:tc>
          <w:tcPr>
            <w:tcW w:w="1560" w:type="dxa"/>
            <w:tcMar>
              <w:left w:w="57" w:type="dxa"/>
              <w:right w:w="57" w:type="dxa"/>
            </w:tcMar>
            <w:vAlign w:val="center"/>
          </w:tcPr>
          <w:p>
            <w:pPr>
              <w:pStyle w:val="11"/>
              <w:adjustRightInd w:val="0"/>
              <w:snapToGrid w:val="0"/>
              <w:jc w:val="center"/>
              <w:rPr>
                <w:rFonts w:hAnsi="宋体" w:cs="Arial"/>
                <w:kern w:val="0"/>
              </w:rPr>
            </w:pPr>
            <w:r>
              <w:rPr>
                <w:rFonts w:hint="eastAsia" w:hAnsi="宋体" w:cs="Arial"/>
                <w:kern w:val="0"/>
              </w:rPr>
              <w:t>1.85</w:t>
            </w:r>
            <w:r>
              <w:rPr>
                <w:rFonts w:ascii="Times New Roman" w:hAnsi="宋体" w:cs="Arial"/>
                <w:kern w:val="0"/>
                <w:szCs w:val="24"/>
              </w:rPr>
              <w:t>×10</w:t>
            </w:r>
            <w:r>
              <w:rPr>
                <w:rFonts w:hint="eastAsia" w:ascii="Times New Roman" w:hAnsi="宋体" w:cs="Arial"/>
                <w:kern w:val="0"/>
                <w:szCs w:val="24"/>
                <w:vertAlign w:val="superscript"/>
              </w:rPr>
              <w:t>6</w:t>
            </w:r>
            <w:r>
              <w:t xml:space="preserve"> t/a</w:t>
            </w:r>
          </w:p>
        </w:tc>
        <w:tc>
          <w:tcPr>
            <w:tcW w:w="2521" w:type="dxa"/>
            <w:vMerge w:val="restart"/>
            <w:tcMar>
              <w:left w:w="57" w:type="dxa"/>
              <w:right w:w="57" w:type="dxa"/>
            </w:tcMar>
            <w:vAlign w:val="center"/>
          </w:tcPr>
          <w:p>
            <w:pPr>
              <w:spacing w:line="300" w:lineRule="exact"/>
              <w:jc w:val="center"/>
              <w:rPr>
                <w:szCs w:val="21"/>
              </w:rPr>
            </w:pPr>
            <w:r>
              <w:rPr>
                <w:rFonts w:hint="eastAsia" w:hAnsi="宋体"/>
                <w:szCs w:val="21"/>
              </w:rPr>
              <w:t>与盈德公司共用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dxa"/>
            <w:tcMar>
              <w:left w:w="57" w:type="dxa"/>
              <w:right w:w="57" w:type="dxa"/>
            </w:tcMar>
            <w:vAlign w:val="center"/>
          </w:tcPr>
          <w:p>
            <w:pPr>
              <w:spacing w:line="300" w:lineRule="exact"/>
              <w:jc w:val="center"/>
              <w:rPr>
                <w:szCs w:val="21"/>
              </w:rPr>
            </w:pPr>
            <w:r>
              <w:rPr>
                <w:rFonts w:hint="eastAsia"/>
                <w:szCs w:val="21"/>
              </w:rPr>
              <w:t>19</w:t>
            </w:r>
          </w:p>
        </w:tc>
        <w:tc>
          <w:tcPr>
            <w:tcW w:w="652" w:type="dxa"/>
            <w:vMerge w:val="continue"/>
            <w:tcMar>
              <w:left w:w="57" w:type="dxa"/>
              <w:right w:w="57" w:type="dxa"/>
            </w:tcMar>
            <w:vAlign w:val="center"/>
          </w:tcPr>
          <w:p>
            <w:pPr>
              <w:spacing w:line="300" w:lineRule="exact"/>
              <w:jc w:val="center"/>
              <w:rPr>
                <w:szCs w:val="21"/>
              </w:rPr>
            </w:pPr>
          </w:p>
        </w:tc>
        <w:tc>
          <w:tcPr>
            <w:tcW w:w="729" w:type="dxa"/>
            <w:vMerge w:val="continue"/>
            <w:tcMar>
              <w:left w:w="57" w:type="dxa"/>
              <w:right w:w="57" w:type="dxa"/>
            </w:tcMar>
            <w:vAlign w:val="center"/>
          </w:tcPr>
          <w:p>
            <w:pPr>
              <w:pStyle w:val="58"/>
              <w:spacing w:line="280" w:lineRule="exact"/>
              <w:rPr>
                <w:color w:val="000000"/>
                <w:kern w:val="0"/>
                <w:szCs w:val="21"/>
              </w:rPr>
            </w:pPr>
          </w:p>
        </w:tc>
        <w:tc>
          <w:tcPr>
            <w:tcW w:w="1640" w:type="dxa"/>
            <w:tcMar>
              <w:left w:w="57" w:type="dxa"/>
              <w:right w:w="57" w:type="dxa"/>
            </w:tcMar>
            <w:vAlign w:val="center"/>
          </w:tcPr>
          <w:p>
            <w:pPr>
              <w:snapToGrid w:val="0"/>
              <w:jc w:val="center"/>
              <w:rPr>
                <w:rFonts w:ascii="宋体" w:hAnsi="宋体" w:cs="Arial"/>
                <w:kern w:val="0"/>
                <w:szCs w:val="21"/>
              </w:rPr>
            </w:pPr>
            <w:r>
              <w:rPr>
                <w:rFonts w:hint="eastAsia"/>
                <w:color w:val="000000"/>
                <w:kern w:val="0"/>
                <w:szCs w:val="21"/>
              </w:rPr>
              <w:t>电</w:t>
            </w:r>
          </w:p>
        </w:tc>
        <w:tc>
          <w:tcPr>
            <w:tcW w:w="1521" w:type="dxa"/>
            <w:tcMar>
              <w:left w:w="57" w:type="dxa"/>
              <w:right w:w="57" w:type="dxa"/>
            </w:tcMar>
            <w:vAlign w:val="center"/>
          </w:tcPr>
          <w:p>
            <w:pPr>
              <w:pStyle w:val="58"/>
              <w:spacing w:line="280" w:lineRule="exact"/>
              <w:rPr>
                <w:color w:val="000000"/>
                <w:kern w:val="0"/>
                <w:szCs w:val="21"/>
              </w:rPr>
            </w:pPr>
          </w:p>
        </w:tc>
        <w:tc>
          <w:tcPr>
            <w:tcW w:w="1560" w:type="dxa"/>
            <w:tcMar>
              <w:left w:w="57" w:type="dxa"/>
              <w:right w:w="57" w:type="dxa"/>
            </w:tcMar>
            <w:vAlign w:val="center"/>
          </w:tcPr>
          <w:p>
            <w:pPr>
              <w:adjustRightInd w:val="0"/>
              <w:snapToGrid w:val="0"/>
              <w:jc w:val="center"/>
              <w:rPr>
                <w:rFonts w:hAnsi="宋体" w:cs="Arial"/>
                <w:kern w:val="0"/>
              </w:rPr>
            </w:pPr>
            <w:r>
              <w:rPr>
                <w:rFonts w:hint="eastAsia" w:hAnsi="宋体" w:cs="Arial"/>
                <w:kern w:val="0"/>
              </w:rPr>
              <w:t>3.18</w:t>
            </w:r>
            <w:r>
              <w:rPr>
                <w:rFonts w:hAnsi="宋体" w:cs="Arial"/>
                <w:kern w:val="0"/>
              </w:rPr>
              <w:t>×10</w:t>
            </w:r>
            <w:r>
              <w:rPr>
                <w:rFonts w:hint="eastAsia" w:hAnsi="宋体" w:cs="Arial"/>
                <w:kern w:val="0"/>
                <w:vertAlign w:val="superscript"/>
              </w:rPr>
              <w:t>6</w:t>
            </w:r>
            <w:r>
              <w:rPr>
                <w:color w:val="000000"/>
                <w:kern w:val="0"/>
                <w:szCs w:val="21"/>
              </w:rPr>
              <w:t>kWh/a</w:t>
            </w:r>
          </w:p>
        </w:tc>
        <w:tc>
          <w:tcPr>
            <w:tcW w:w="2521" w:type="dxa"/>
            <w:vMerge w:val="continue"/>
            <w:tcMar>
              <w:left w:w="57" w:type="dxa"/>
              <w:right w:w="57" w:type="dxa"/>
            </w:tcMar>
            <w:vAlign w:val="center"/>
          </w:tcPr>
          <w:p>
            <w:pPr>
              <w:spacing w:line="300" w:lineRule="exact"/>
              <w:jc w:val="center"/>
              <w:rPr>
                <w:szCs w:val="21"/>
              </w:rPr>
            </w:pPr>
          </w:p>
        </w:tc>
      </w:tr>
    </w:tbl>
    <w:p>
      <w:pPr>
        <w:pStyle w:val="2"/>
        <w:ind w:left="1470" w:right="1470"/>
      </w:pPr>
    </w:p>
    <w:p>
      <w:pPr>
        <w:pStyle w:val="3"/>
      </w:pPr>
    </w:p>
    <w:p>
      <w:pPr>
        <w:pStyle w:val="4"/>
      </w:pPr>
    </w:p>
    <w:p>
      <w:pPr>
        <w:pStyle w:val="5"/>
      </w:pPr>
    </w:p>
    <w:p/>
    <w:p>
      <w:pPr>
        <w:pStyle w:val="2"/>
      </w:pPr>
    </w:p>
    <w:p>
      <w:pPr>
        <w:pStyle w:val="3"/>
      </w:pPr>
    </w:p>
    <w:p>
      <w:pPr>
        <w:pStyle w:val="4"/>
      </w:pPr>
    </w:p>
    <w:p>
      <w:pPr>
        <w:pStyle w:val="5"/>
      </w:pPr>
    </w:p>
    <w:p/>
    <w:p>
      <w:pPr>
        <w:pStyle w:val="2"/>
      </w:pPr>
    </w:p>
    <w:p>
      <w:pPr>
        <w:pStyle w:val="3"/>
      </w:pPr>
    </w:p>
    <w:p>
      <w:pPr>
        <w:pStyle w:val="4"/>
      </w:pPr>
    </w:p>
    <w:p>
      <w:pPr>
        <w:adjustRightInd w:val="0"/>
        <w:snapToGrid w:val="0"/>
        <w:spacing w:line="276" w:lineRule="auto"/>
        <w:ind w:firstLine="440" w:firstLineChars="200"/>
        <w:rPr>
          <w:rFonts w:ascii="微软雅黑" w:hAnsi="微软雅黑" w:eastAsia="微软雅黑" w:cs="微软雅黑"/>
          <w:color w:val="000000"/>
          <w:sz w:val="22"/>
          <w:szCs w:val="22"/>
        </w:rPr>
      </w:pPr>
      <w:bookmarkStart w:id="29" w:name="_Toc6034_WPSOffice_Level3"/>
      <w:bookmarkStart w:id="30" w:name="_Toc4354_WPSOffice_Level3"/>
      <w:r>
        <w:rPr>
          <w:rFonts w:hint="eastAsia" w:ascii="微软雅黑" w:hAnsi="微软雅黑" w:eastAsia="微软雅黑" w:cs="微软雅黑"/>
          <w:color w:val="000000"/>
          <w:sz w:val="22"/>
          <w:szCs w:val="22"/>
        </w:rPr>
        <w:t>3.4.</w:t>
      </w:r>
      <w:r>
        <w:rPr>
          <w:rFonts w:ascii="微软雅黑" w:hAnsi="微软雅黑" w:eastAsia="微软雅黑" w:cs="微软雅黑"/>
          <w:color w:val="000000"/>
          <w:sz w:val="22"/>
          <w:szCs w:val="22"/>
        </w:rPr>
        <w:t>2</w:t>
      </w:r>
      <w:r>
        <w:rPr>
          <w:rFonts w:hint="eastAsia" w:ascii="微软雅黑" w:hAnsi="微软雅黑" w:eastAsia="微软雅黑" w:cs="微软雅黑"/>
          <w:color w:val="000000"/>
          <w:sz w:val="22"/>
          <w:szCs w:val="22"/>
        </w:rPr>
        <w:t xml:space="preserve"> </w:t>
      </w:r>
      <w:r>
        <w:rPr>
          <w:rFonts w:ascii="微软雅黑" w:hAnsi="微软雅黑" w:eastAsia="微软雅黑" w:cs="微软雅黑"/>
          <w:color w:val="000000"/>
          <w:sz w:val="22"/>
          <w:szCs w:val="22"/>
        </w:rPr>
        <w:t>主要</w:t>
      </w:r>
      <w:bookmarkEnd w:id="29"/>
      <w:r>
        <w:rPr>
          <w:rFonts w:ascii="微软雅黑" w:hAnsi="微软雅黑" w:eastAsia="微软雅黑" w:cs="微软雅黑"/>
          <w:color w:val="000000"/>
          <w:sz w:val="22"/>
          <w:szCs w:val="22"/>
        </w:rPr>
        <w:t>生产设施设备</w:t>
      </w:r>
      <w:bookmarkEnd w:id="30"/>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公司主要包括合成装置、尿素装置、水处理装置及脱盐水装置，原料成品装置区，</w:t>
      </w:r>
      <w:r>
        <w:rPr>
          <w:rFonts w:ascii="微软雅黑" w:hAnsi="微软雅黑" w:eastAsia="微软雅黑" w:cs="微软雅黑"/>
          <w:color w:val="000000"/>
          <w:sz w:val="22"/>
          <w:szCs w:val="22"/>
        </w:rPr>
        <w:t>主要设备清单见</w:t>
      </w:r>
      <w:r>
        <w:rPr>
          <w:rFonts w:hint="eastAsia" w:ascii="微软雅黑" w:hAnsi="微软雅黑" w:eastAsia="微软雅黑" w:cs="微软雅黑"/>
          <w:color w:val="000000"/>
          <w:sz w:val="22"/>
          <w:szCs w:val="22"/>
        </w:rPr>
        <w:t>下</w:t>
      </w:r>
      <w:r>
        <w:rPr>
          <w:rFonts w:ascii="微软雅黑" w:hAnsi="微软雅黑" w:eastAsia="微软雅黑" w:cs="微软雅黑"/>
          <w:color w:val="000000"/>
          <w:sz w:val="22"/>
          <w:szCs w:val="22"/>
        </w:rPr>
        <w:t>表。</w:t>
      </w:r>
    </w:p>
    <w:p>
      <w:pPr>
        <w:pStyle w:val="2"/>
        <w:ind w:left="0" w:leftChars="0" w:right="1470"/>
      </w:pPr>
    </w:p>
    <w:p>
      <w:pPr>
        <w:spacing w:line="360" w:lineRule="auto"/>
        <w:jc w:val="center"/>
        <w:rPr>
          <w:sz w:val="28"/>
        </w:rPr>
      </w:pPr>
      <w:r>
        <w:rPr>
          <w:color w:val="000000"/>
        </w:rPr>
        <w:t>表</w:t>
      </w:r>
      <w:r>
        <w:rPr>
          <w:rFonts w:hint="eastAsia"/>
          <w:color w:val="000000"/>
        </w:rPr>
        <w:t xml:space="preserve">3 </w:t>
      </w:r>
      <w:r>
        <w:rPr>
          <w:color w:val="000000"/>
        </w:rPr>
        <w:t xml:space="preserve"> 主要设备清单</w:t>
      </w:r>
    </w:p>
    <w:tbl>
      <w:tblPr>
        <w:tblStyle w:val="20"/>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5"/>
        <w:gridCol w:w="2520"/>
        <w:gridCol w:w="2340"/>
        <w:gridCol w:w="720"/>
        <w:gridCol w:w="1800"/>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5" w:type="dxa"/>
            <w:vAlign w:val="center"/>
          </w:tcPr>
          <w:p>
            <w:pPr>
              <w:widowControl/>
              <w:spacing w:line="280" w:lineRule="exact"/>
              <w:jc w:val="center"/>
              <w:rPr>
                <w:rFonts w:ascii="宋体" w:hAnsi="宋体"/>
                <w:kern w:val="0"/>
                <w:szCs w:val="21"/>
              </w:rPr>
            </w:pPr>
            <w:r>
              <w:rPr>
                <w:rFonts w:hint="eastAsia" w:ascii="宋体" w:hAnsi="宋体"/>
                <w:kern w:val="0"/>
                <w:szCs w:val="21"/>
              </w:rPr>
              <w:t>序号</w:t>
            </w:r>
          </w:p>
        </w:tc>
        <w:tc>
          <w:tcPr>
            <w:tcW w:w="2520" w:type="dxa"/>
            <w:vAlign w:val="center"/>
          </w:tcPr>
          <w:p>
            <w:pPr>
              <w:spacing w:line="280" w:lineRule="exact"/>
              <w:jc w:val="center"/>
              <w:rPr>
                <w:rFonts w:ascii="宋体" w:hAnsi="宋体"/>
                <w:kern w:val="0"/>
                <w:szCs w:val="21"/>
              </w:rPr>
            </w:pPr>
            <w:r>
              <w:rPr>
                <w:rFonts w:hint="eastAsia" w:ascii="宋体" w:hAnsi="宋体"/>
                <w:kern w:val="0"/>
                <w:szCs w:val="21"/>
              </w:rPr>
              <w:t>设备名称</w:t>
            </w:r>
          </w:p>
        </w:tc>
        <w:tc>
          <w:tcPr>
            <w:tcW w:w="2340" w:type="dxa"/>
            <w:vAlign w:val="center"/>
          </w:tcPr>
          <w:p>
            <w:pPr>
              <w:spacing w:line="280" w:lineRule="exact"/>
              <w:jc w:val="center"/>
              <w:rPr>
                <w:rFonts w:ascii="宋体" w:hAnsi="宋体"/>
                <w:kern w:val="0"/>
                <w:szCs w:val="21"/>
              </w:rPr>
            </w:pPr>
            <w:r>
              <w:rPr>
                <w:rFonts w:hint="eastAsia" w:ascii="宋体" w:hAnsi="宋体"/>
                <w:kern w:val="0"/>
                <w:szCs w:val="21"/>
              </w:rPr>
              <w:t>规格型号</w:t>
            </w:r>
          </w:p>
        </w:tc>
        <w:tc>
          <w:tcPr>
            <w:tcW w:w="720" w:type="dxa"/>
            <w:vAlign w:val="center"/>
          </w:tcPr>
          <w:p>
            <w:pPr>
              <w:widowControl/>
              <w:spacing w:line="280" w:lineRule="exact"/>
              <w:jc w:val="center"/>
              <w:rPr>
                <w:rFonts w:ascii="宋体" w:hAnsi="宋体"/>
                <w:kern w:val="0"/>
                <w:szCs w:val="21"/>
              </w:rPr>
            </w:pPr>
            <w:r>
              <w:rPr>
                <w:rFonts w:hint="eastAsia" w:ascii="宋体" w:hAnsi="宋体"/>
                <w:kern w:val="0"/>
                <w:szCs w:val="21"/>
              </w:rPr>
              <w:t>数量</w:t>
            </w:r>
          </w:p>
          <w:p>
            <w:pPr>
              <w:widowControl/>
              <w:spacing w:line="280" w:lineRule="exact"/>
              <w:jc w:val="center"/>
              <w:rPr>
                <w:rFonts w:ascii="宋体" w:hAnsi="宋体"/>
                <w:kern w:val="0"/>
                <w:szCs w:val="21"/>
              </w:rPr>
            </w:pPr>
            <w:r>
              <w:rPr>
                <w:rFonts w:hint="eastAsia" w:ascii="宋体" w:hAnsi="宋体"/>
                <w:bCs/>
                <w:szCs w:val="21"/>
              </w:rPr>
              <w:t>（台）</w:t>
            </w:r>
          </w:p>
        </w:tc>
        <w:tc>
          <w:tcPr>
            <w:tcW w:w="1800" w:type="dxa"/>
            <w:vAlign w:val="center"/>
          </w:tcPr>
          <w:p>
            <w:pPr>
              <w:widowControl/>
              <w:spacing w:line="280" w:lineRule="exact"/>
              <w:jc w:val="center"/>
              <w:rPr>
                <w:rFonts w:ascii="宋体" w:hAnsi="宋体"/>
                <w:kern w:val="0"/>
                <w:szCs w:val="21"/>
              </w:rPr>
            </w:pPr>
            <w:r>
              <w:rPr>
                <w:rFonts w:hint="eastAsia" w:ascii="宋体" w:hAnsi="宋体"/>
                <w:kern w:val="0"/>
                <w:szCs w:val="21"/>
              </w:rPr>
              <w:t>主要材质</w:t>
            </w:r>
          </w:p>
        </w:tc>
        <w:tc>
          <w:tcPr>
            <w:tcW w:w="1264" w:type="dxa"/>
            <w:vAlign w:val="center"/>
          </w:tcPr>
          <w:p>
            <w:pPr>
              <w:widowControl/>
              <w:spacing w:line="280" w:lineRule="exact"/>
              <w:jc w:val="center"/>
              <w:rPr>
                <w:rFonts w:ascii="宋体" w:hAnsi="宋体"/>
                <w:kern w:val="0"/>
                <w:szCs w:val="21"/>
              </w:rPr>
            </w:pPr>
            <w:r>
              <w:rPr>
                <w:rFonts w:hint="eastAsia" w:ascii="宋体" w:hAnsi="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氨合成塔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φ2400×23200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1.25Cr-0.5Mo</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废热锅炉</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F≈500m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16MnIV　</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锅炉给水预热器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F≈250m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15CrMo锻件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热气气换热器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F≈1173m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1.25Cr-0.5Mo</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5</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水冷器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F≈1165m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16Mn锻件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6</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冷气气换热器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F≈355m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16MnIV</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7</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一氨冷</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F≈595m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16Mn锻件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8</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二氨冷</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F≈374m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16Mn锻件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9</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高压氨分离器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φ2200×10450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13MnNiMoR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10</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中压氨分离器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φ1600×7000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16MnⅢ</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11</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排污罐</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φ1600×5000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Q235B</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12</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液氨球罐</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V=4000m</w:t>
            </w:r>
            <w:r>
              <w:rPr>
                <w:rFonts w:hint="eastAsia" w:ascii="宋体" w:hAnsi="宋体" w:cs="宋体"/>
                <w:kern w:val="0"/>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13</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液氨球罐</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V=200m</w:t>
            </w:r>
            <w:r>
              <w:rPr>
                <w:rFonts w:hint="eastAsia" w:ascii="宋体" w:hAnsi="宋体" w:cs="宋体"/>
                <w:kern w:val="0"/>
                <w:szCs w:val="21"/>
                <w:vertAlign w:val="superscript"/>
              </w:rPr>
              <w:t>3</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14</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氨压缩冷凝机组</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900kg/h</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15</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szCs w:val="21"/>
              </w:rPr>
              <w:t>循环气压缩机</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szCs w:val="21"/>
              </w:rPr>
              <w:t>3560Nm</w:t>
            </w:r>
            <w:r>
              <w:rPr>
                <w:rFonts w:hint="eastAsia" w:ascii="宋体" w:hAnsi="宋体"/>
                <w:szCs w:val="21"/>
                <w:vertAlign w:val="superscript"/>
              </w:rPr>
              <w:t>3</w:t>
            </w:r>
            <w:r>
              <w:rPr>
                <w:rFonts w:hint="eastAsia" w:ascii="宋体" w:hAnsi="宋体"/>
                <w:szCs w:val="21"/>
              </w:rPr>
              <w:t>/h</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氨压缩机</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 xml:space="preserve">K-3201  7H-4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17</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合成气压缩机</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K-3101  5V-8B</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r>
              <w:rPr>
                <w:rFonts w:hint="eastAsia" w:ascii="宋体" w:hAnsi="宋体"/>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18</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CO</w:t>
            </w:r>
            <w:r>
              <w:rPr>
                <w:rFonts w:hint="eastAsia" w:ascii="宋体" w:hAnsi="宋体" w:cs="宋体"/>
                <w:kern w:val="0"/>
                <w:szCs w:val="21"/>
                <w:vertAlign w:val="subscript"/>
              </w:rPr>
              <w:t>2</w:t>
            </w:r>
            <w:r>
              <w:rPr>
                <w:rFonts w:hint="eastAsia" w:ascii="宋体" w:hAnsi="宋体" w:cs="宋体"/>
                <w:kern w:val="0"/>
                <w:szCs w:val="21"/>
              </w:rPr>
              <w:t>压缩机组</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45002Nm</w:t>
            </w:r>
            <w:r>
              <w:rPr>
                <w:rFonts w:hint="eastAsia" w:ascii="宋体" w:hAnsi="宋体" w:cs="宋体"/>
                <w:kern w:val="0"/>
                <w:szCs w:val="21"/>
                <w:vertAlign w:val="superscript"/>
              </w:rPr>
              <w:t>3</w:t>
            </w:r>
            <w:r>
              <w:rPr>
                <w:rFonts w:hint="eastAsia" w:ascii="宋体" w:hAnsi="宋体" w:cs="宋体"/>
                <w:kern w:val="0"/>
                <w:szCs w:val="21"/>
              </w:rPr>
              <w:t>/h</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19</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高压CO</w:t>
            </w:r>
            <w:r>
              <w:rPr>
                <w:rFonts w:hint="eastAsia" w:ascii="宋体" w:hAnsi="宋体" w:cs="宋体"/>
                <w:kern w:val="0"/>
                <w:szCs w:val="21"/>
                <w:vertAlign w:val="subscript"/>
              </w:rPr>
              <w:t>2</w:t>
            </w:r>
            <w:r>
              <w:rPr>
                <w:rFonts w:hint="eastAsia" w:ascii="宋体" w:hAnsi="宋体" w:cs="宋体"/>
                <w:kern w:val="0"/>
                <w:szCs w:val="21"/>
              </w:rPr>
              <w:t>气气换热器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φ600×62   L=6500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CS</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20</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高压CO</w:t>
            </w:r>
            <w:r>
              <w:rPr>
                <w:rFonts w:hint="eastAsia" w:ascii="宋体" w:hAnsi="宋体" w:cs="宋体"/>
                <w:kern w:val="0"/>
                <w:szCs w:val="21"/>
                <w:vertAlign w:val="subscript"/>
              </w:rPr>
              <w:t>2</w:t>
            </w:r>
            <w:r>
              <w:rPr>
                <w:rFonts w:hint="eastAsia" w:ascii="宋体" w:hAnsi="宋体" w:cs="宋体"/>
                <w:kern w:val="0"/>
                <w:szCs w:val="21"/>
              </w:rPr>
              <w:t>加热器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φ600×14   L=4500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21</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高压CO</w:t>
            </w:r>
            <w:r>
              <w:rPr>
                <w:rFonts w:hint="eastAsia" w:ascii="宋体" w:hAnsi="宋体" w:cs="宋体"/>
                <w:kern w:val="0"/>
                <w:szCs w:val="21"/>
                <w:vertAlign w:val="subscript"/>
              </w:rPr>
              <w:t>2</w:t>
            </w:r>
            <w:r>
              <w:rPr>
                <w:rFonts w:hint="eastAsia" w:ascii="宋体" w:hAnsi="宋体" w:cs="宋体"/>
                <w:kern w:val="0"/>
                <w:szCs w:val="21"/>
              </w:rPr>
              <w:t>冷却器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φ600×12   L=5790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22</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脱氢反应器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φ1500×70  H=5462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13MnNiMoR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23</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脱硫塔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φ2200×10  H=13400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24</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尿素合成塔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φ3100δ=168 H=~32000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CS/316Lmod</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25</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精馏塔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φ2500  H=~11000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26</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低压吸收塔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φ1000/2000δ=8 H=~10843</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27</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常压吸收塔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φ500/1100/2100δ=6 H=~9284</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28</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解吸塔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φ1800 δ=10 H=~31528</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00Cr19Ni10</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29</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水解器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φ2600 δ=36 H=~10600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气提塔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F≈2020m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高压甲铵冷凝器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F=3330m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32</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高压洗涤器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F=318m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16MnR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33</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循环加热器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φ1500  H=~6000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34</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低压甲铵冷凝器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F=1241m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35</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一段蒸发器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F=1162m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36</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二段蒸发器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F=87.2m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37</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蒸汽冷凝器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F=804m</w:t>
            </w:r>
            <w:r>
              <w:rPr>
                <w:rFonts w:hint="eastAsia" w:ascii="宋体" w:hAnsi="宋体" w:cs="宋体"/>
                <w:kern w:val="0"/>
                <w:szCs w:val="21"/>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20#</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38</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水解器换热器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φ700 δ=10 L=~6894</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39</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回流冷凝器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φ1550 δ=10 H=~8266</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316L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40</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低压蒸汽包</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φ4000 δ=14 H=~4870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2</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Q245R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41</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尿液贮槽</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φ11900  H=6000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42</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闪蒸槽</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 xml:space="preserve">φ3000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43</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一段蒸发分离器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 xml:space="preserve">φ6100 δ=24 </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44</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二段蒸发分离器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φ5200 δ=22 H=~3100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45</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高压蒸汽饱和器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φ2200  L=~7682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46</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中压蒸汽饱和器</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φ1900  L=~4604</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Q345R</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47</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工艺冷凝液槽</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φ12900 δ=6 H=~6000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304L</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48</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造粒塔</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φ26000×96400</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内涂防腐材料　</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49</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高压蒸汽过热炉</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操作温度(℃)：250~400</w:t>
            </w:r>
          </w:p>
          <w:p>
            <w:pPr>
              <w:widowControl/>
              <w:spacing w:line="280" w:lineRule="exact"/>
              <w:jc w:val="center"/>
              <w:rPr>
                <w:rFonts w:ascii="宋体" w:hAnsi="宋体" w:cs="宋体"/>
                <w:kern w:val="0"/>
                <w:szCs w:val="21"/>
              </w:rPr>
            </w:pPr>
            <w:r>
              <w:rPr>
                <w:rFonts w:hint="eastAsia" w:ascii="宋体" w:hAnsi="宋体" w:cs="宋体"/>
                <w:kern w:val="0"/>
                <w:szCs w:val="21"/>
              </w:rPr>
              <w:t>操作压力MPa(g)：3.82</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Q345B</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压力容器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50</w:t>
            </w:r>
          </w:p>
        </w:tc>
        <w:tc>
          <w:tcPr>
            <w:tcW w:w="25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造粒塔电梯</w:t>
            </w:r>
          </w:p>
        </w:tc>
        <w:tc>
          <w:tcPr>
            <w:tcW w:w="234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提升能力：1 t</w:t>
            </w:r>
          </w:p>
          <w:p>
            <w:pPr>
              <w:widowControl/>
              <w:spacing w:line="280" w:lineRule="exact"/>
              <w:jc w:val="center"/>
              <w:rPr>
                <w:rFonts w:ascii="宋体" w:hAnsi="宋体" w:cs="宋体"/>
                <w:kern w:val="0"/>
                <w:szCs w:val="21"/>
              </w:rPr>
            </w:pPr>
            <w:r>
              <w:rPr>
                <w:rFonts w:hint="eastAsia" w:ascii="宋体" w:hAnsi="宋体" w:cs="宋体"/>
                <w:kern w:val="0"/>
                <w:szCs w:val="21"/>
              </w:rPr>
              <w:t>提升高度96.4米</w:t>
            </w:r>
          </w:p>
        </w:tc>
        <w:tc>
          <w:tcPr>
            <w:tcW w:w="72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1</w:t>
            </w:r>
          </w:p>
        </w:tc>
        <w:tc>
          <w:tcPr>
            <w:tcW w:w="1800"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组合件</w:t>
            </w:r>
          </w:p>
        </w:tc>
        <w:tc>
          <w:tcPr>
            <w:tcW w:w="12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宋体" w:hAnsi="宋体" w:cs="宋体"/>
                <w:kern w:val="0"/>
                <w:szCs w:val="21"/>
              </w:rPr>
            </w:pPr>
            <w:r>
              <w:rPr>
                <w:rFonts w:hint="eastAsia" w:ascii="宋体" w:hAnsi="宋体" w:cs="宋体"/>
                <w:kern w:val="0"/>
                <w:szCs w:val="21"/>
              </w:rPr>
              <w:t>电梯</w:t>
            </w:r>
          </w:p>
        </w:tc>
      </w:tr>
    </w:tbl>
    <w:p>
      <w:pPr>
        <w:spacing w:line="500" w:lineRule="exact"/>
        <w:ind w:firstLine="480" w:firstLineChars="200"/>
        <w:rPr>
          <w:kern w:val="0"/>
          <w:sz w:val="24"/>
        </w:rPr>
      </w:pPr>
    </w:p>
    <w:p>
      <w:pPr>
        <w:pStyle w:val="7"/>
      </w:pPr>
      <w:bookmarkStart w:id="31" w:name="_Toc31545"/>
      <w:bookmarkStart w:id="32" w:name="_Toc16457"/>
      <w:r>
        <w:t>3.5 生产工艺流程简介</w:t>
      </w:r>
      <w:bookmarkEnd w:id="31"/>
      <w:bookmarkEnd w:id="32"/>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3.5.1合成氨工艺</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由盈德气体公司液氮洗工序送来的合格新鲜工艺气，同来自中压氨分来的闪蒸气在压缩机的一段入口管线上汇合后进入压缩机压缩段。升压后气体同来自氨分离器的循环气在压缩机循环段混合压缩经热交换器预热后进氨合成塔反应。出氨合成塔反应气进氨合成废锅回收热量后，进入热交换器预热合成气压缩机入口气体。再经水冷器、冷交换器和一、二级氨冷器最终冷却后进氨分离器分离冷凝的液氨，分氨后的循环气经冷交换器回收冷量后进压缩机循环段与新鲜气汇合，重复上述循环。在氨分离罐中被分离下来的液氨减压到5.2MPa，然后进入氨闪蒸槽，释放出的气体回收到合成气压缩机二段，重新进入合成回路。产品氨被送至冷冻工段与氨压缩机出口热氨换热到约20℃，送至尿素装置。</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3.5.2尿素合成工艺</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尿素的生产方法采用国内的CO2汽提工艺，该工艺包括原料压缩、尿素合成及未反应物的高压分解和回收、未反应物的低压分解和回收、尿液浓缩与造粒、工艺冷凝液处理等工序。</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该项目生产过程中发生的主要化学反应如下：</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氨合成：                N2 + 3H2 = 2NH3</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尿素合成        </w:t>
      </w:r>
      <w:r>
        <w:rPr>
          <w:rFonts w:ascii="微软雅黑" w:hAnsi="微软雅黑" w:eastAsia="微软雅黑" w:cs="微软雅黑"/>
          <w:color w:val="000000"/>
          <w:sz w:val="22"/>
          <w:szCs w:val="22"/>
        </w:rPr>
        <w:t>2NH3+CO2</w:t>
      </w:r>
      <w:r>
        <w:rPr>
          <w:rFonts w:ascii="微软雅黑" w:hAnsi="微软雅黑" w:eastAsia="微软雅黑" w:cs="微软雅黑"/>
          <w:color w:val="000000"/>
          <w:sz w:val="22"/>
          <w:szCs w:val="22"/>
        </w:rPr>
        <w:object>
          <v:shape id="_x0000_i1025" o:spt="75" type="#_x0000_t75" style="height:14.25pt;width:23.25pt;" o:ole="t" filled="f" o:preferrelative="t" stroked="f" coordsize="21600,21600">
            <v:path/>
            <v:fill on="f" focussize="0,0"/>
            <v:stroke on="f" joinstyle="miter"/>
            <v:imagedata r:id="rId11" o:title=""/>
            <o:lock v:ext="edit" aspectratio="t"/>
            <w10:wrap type="none"/>
            <w10:anchorlock/>
          </v:shape>
          <o:OLEObject Type="Embed" ProgID="PBrush" ShapeID="_x0000_i1025" DrawAspect="Content" ObjectID="_1468075725" r:id="rId10">
            <o:LockedField>false</o:LockedField>
          </o:OLEObject>
        </w:object>
      </w:r>
      <w:r>
        <w:rPr>
          <w:rFonts w:ascii="微软雅黑" w:hAnsi="微软雅黑" w:eastAsia="微软雅黑" w:cs="微软雅黑"/>
          <w:color w:val="000000"/>
          <w:sz w:val="22"/>
          <w:szCs w:val="22"/>
        </w:rPr>
        <w:t xml:space="preserve"> CO(NH2)2+H2O+Q</w:t>
      </w:r>
    </w:p>
    <w:p>
      <w:pPr>
        <w:pStyle w:val="2"/>
        <w:ind w:left="1470" w:right="1470"/>
      </w:pP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3.5.3 该建设项目总生产工艺流程见下图</w:t>
      </w:r>
    </w:p>
    <w:p>
      <w:pPr>
        <w:jc w:val="center"/>
      </w:pPr>
      <w:r>
        <w:object>
          <v:shape id="_x0000_i1026" o:spt="75" type="#_x0000_t75" style="height:188.25pt;width:401.25pt;" o:ole="t" filled="f" o:preferrelative="t" stroked="f" coordsize="21600,21600">
            <v:path/>
            <v:fill on="f" focussize="0,0"/>
            <v:stroke on="f" joinstyle="miter"/>
            <v:imagedata r:id="rId13" o:title=""/>
            <o:lock v:ext="edit" aspectratio="t"/>
            <w10:wrap type="none"/>
            <w10:anchorlock/>
          </v:shape>
          <o:OLEObject Type="Embed" ProgID="SmartDraw.2" ShapeID="_x0000_i1026" DrawAspect="Content" ObjectID="_1468075726" r:id="rId12">
            <o:LockedField>false</o:LockedField>
          </o:OLEObject>
        </w:object>
      </w:r>
    </w:p>
    <w:p/>
    <w:p>
      <w:pPr>
        <w:pStyle w:val="7"/>
      </w:pPr>
      <w:bookmarkStart w:id="33" w:name="_Toc4934"/>
      <w:bookmarkStart w:id="34" w:name="_Toc8132"/>
      <w:r>
        <w:rPr>
          <w:rFonts w:hint="eastAsia"/>
        </w:rPr>
        <w:t>3.6 “三废”</w:t>
      </w:r>
      <w:r>
        <w:t>的产生</w:t>
      </w:r>
      <w:r>
        <w:rPr>
          <w:rFonts w:hint="eastAsia"/>
        </w:rPr>
        <w:t>情况</w:t>
      </w:r>
      <w:r>
        <w:t>及治理措施</w:t>
      </w:r>
      <w:bookmarkEnd w:id="33"/>
      <w:bookmarkEnd w:id="34"/>
    </w:p>
    <w:p>
      <w:pPr>
        <w:pStyle w:val="11"/>
        <w:spacing w:line="520" w:lineRule="exact"/>
        <w:ind w:firstLine="330" w:firstLineChars="150"/>
        <w:rPr>
          <w:rFonts w:ascii="黑体" w:eastAsia="黑体"/>
          <w:sz w:val="24"/>
        </w:rPr>
      </w:pPr>
      <w:r>
        <w:rPr>
          <w:rFonts w:hint="eastAsia" w:ascii="微软雅黑" w:hAnsi="微软雅黑" w:eastAsia="微软雅黑" w:cs="微软雅黑"/>
          <w:sz w:val="22"/>
          <w:szCs w:val="22"/>
        </w:rPr>
        <w:t>3.6.1. 各装置产污环节分析</w:t>
      </w:r>
    </w:p>
    <w:p>
      <w:pPr>
        <w:spacing w:line="520" w:lineRule="exact"/>
        <w:ind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(1)氨合成装置产污环节</w:t>
      </w:r>
    </w:p>
    <w:tbl>
      <w:tblPr>
        <w:tblStyle w:val="20"/>
        <w:tblW w:w="926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53"/>
        <w:gridCol w:w="2126"/>
        <w:gridCol w:w="2745"/>
        <w:gridCol w:w="33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53"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污染物</w:t>
            </w:r>
          </w:p>
        </w:tc>
        <w:tc>
          <w:tcPr>
            <w:tcW w:w="2126"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污染源名称</w:t>
            </w:r>
          </w:p>
        </w:tc>
        <w:tc>
          <w:tcPr>
            <w:tcW w:w="2745"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主要污染物</w:t>
            </w:r>
          </w:p>
        </w:tc>
        <w:tc>
          <w:tcPr>
            <w:tcW w:w="3345"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53"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固废</w:t>
            </w:r>
          </w:p>
        </w:tc>
        <w:tc>
          <w:tcPr>
            <w:tcW w:w="2126"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氨合成废触媒</w:t>
            </w:r>
          </w:p>
        </w:tc>
        <w:tc>
          <w:tcPr>
            <w:tcW w:w="2745"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FeO、Fe</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O</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、Al</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O</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、CaO、K</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O</w:t>
            </w:r>
          </w:p>
        </w:tc>
        <w:tc>
          <w:tcPr>
            <w:tcW w:w="3345"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有资质单位回收处置</w:t>
            </w:r>
          </w:p>
        </w:tc>
      </w:tr>
    </w:tbl>
    <w:p>
      <w:pPr>
        <w:spacing w:line="300" w:lineRule="exact"/>
        <w:jc w:val="center"/>
        <w:rPr>
          <w:rFonts w:eastAsiaTheme="minorEastAsia"/>
          <w:sz w:val="24"/>
          <w:szCs w:val="24"/>
        </w:rPr>
      </w:pPr>
    </w:p>
    <w:p>
      <w:pPr>
        <w:pStyle w:val="60"/>
        <w:spacing w:line="520" w:lineRule="exact"/>
        <w:ind w:firstLine="422" w:firstLineChars="192"/>
        <w:rPr>
          <w:rFonts w:ascii="微软雅黑" w:hAnsi="微软雅黑" w:eastAsia="微软雅黑" w:cs="微软雅黑"/>
          <w:b w:val="0"/>
          <w:spacing w:val="0"/>
          <w:sz w:val="22"/>
          <w:szCs w:val="22"/>
        </w:rPr>
      </w:pPr>
      <w:r>
        <w:rPr>
          <w:rFonts w:hint="eastAsia" w:ascii="微软雅黑" w:hAnsi="微软雅黑" w:eastAsia="微软雅黑" w:cs="微软雅黑"/>
          <w:b w:val="0"/>
          <w:spacing w:val="0"/>
          <w:sz w:val="22"/>
          <w:szCs w:val="22"/>
        </w:rPr>
        <w:t xml:space="preserve">  (2)尿素装置产污环节</w:t>
      </w:r>
    </w:p>
    <w:tbl>
      <w:tblPr>
        <w:tblStyle w:val="20"/>
        <w:tblW w:w="8811"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2049"/>
        <w:gridCol w:w="2144"/>
        <w:gridCol w:w="374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污染物</w:t>
            </w: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污染源名称</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主要污染物</w:t>
            </w:r>
          </w:p>
        </w:tc>
        <w:tc>
          <w:tcPr>
            <w:tcW w:w="3747"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处理方式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Merge w:val="restart"/>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废气</w:t>
            </w: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低压吸收塔尾气</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NH</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、N</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、H</w:t>
            </w:r>
            <w:r>
              <w:rPr>
                <w:rFonts w:hint="eastAsia" w:ascii="宋体" w:hAnsi="宋体" w:eastAsia="宋体"/>
                <w:b w:val="0"/>
                <w:snapToGrid w:val="0"/>
                <w:spacing w:val="0"/>
                <w:kern w:val="0"/>
                <w:sz w:val="21"/>
                <w:szCs w:val="21"/>
                <w:vertAlign w:val="subscript"/>
              </w:rPr>
              <w:t>2</w:t>
            </w:r>
          </w:p>
        </w:tc>
        <w:tc>
          <w:tcPr>
            <w:tcW w:w="3747" w:type="dxa"/>
            <w:vMerge w:val="restart"/>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75m高空排放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Merge w:val="continue"/>
            <w:vAlign w:val="center"/>
          </w:tcPr>
          <w:p>
            <w:pPr>
              <w:pStyle w:val="60"/>
              <w:spacing w:line="300" w:lineRule="exact"/>
              <w:jc w:val="center"/>
              <w:rPr>
                <w:rFonts w:ascii="宋体" w:hAnsi="宋体" w:eastAsia="宋体"/>
                <w:b w:val="0"/>
                <w:snapToGrid w:val="0"/>
                <w:spacing w:val="0"/>
                <w:kern w:val="0"/>
                <w:sz w:val="21"/>
                <w:szCs w:val="21"/>
              </w:rPr>
            </w:pP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常压吸收塔尾气</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NH</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、N</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、H</w:t>
            </w:r>
            <w:r>
              <w:rPr>
                <w:rFonts w:hint="eastAsia" w:ascii="宋体" w:hAnsi="宋体" w:eastAsia="宋体"/>
                <w:b w:val="0"/>
                <w:snapToGrid w:val="0"/>
                <w:spacing w:val="0"/>
                <w:kern w:val="0"/>
                <w:sz w:val="21"/>
                <w:szCs w:val="21"/>
                <w:vertAlign w:val="subscript"/>
              </w:rPr>
              <w:t>2</w:t>
            </w:r>
          </w:p>
        </w:tc>
        <w:tc>
          <w:tcPr>
            <w:tcW w:w="3747" w:type="dxa"/>
            <w:vMerge w:val="continue"/>
            <w:vAlign w:val="center"/>
          </w:tcPr>
          <w:p>
            <w:pPr>
              <w:pStyle w:val="60"/>
              <w:spacing w:line="300" w:lineRule="exact"/>
              <w:jc w:val="center"/>
              <w:rPr>
                <w:rFonts w:ascii="宋体" w:hAnsi="宋体" w:eastAsia="宋体"/>
                <w:b w:val="0"/>
                <w:snapToGrid w:val="0"/>
                <w:spacing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Merge w:val="continue"/>
            <w:vAlign w:val="center"/>
          </w:tcPr>
          <w:p>
            <w:pPr>
              <w:pStyle w:val="60"/>
              <w:spacing w:line="300" w:lineRule="exact"/>
              <w:jc w:val="center"/>
              <w:rPr>
                <w:rFonts w:ascii="宋体" w:hAnsi="宋体" w:eastAsia="宋体"/>
                <w:b w:val="0"/>
                <w:snapToGrid w:val="0"/>
                <w:spacing w:val="0"/>
                <w:kern w:val="0"/>
                <w:sz w:val="21"/>
                <w:szCs w:val="21"/>
              </w:rPr>
            </w:pP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尿素造粒塔排气</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尿素粉尘</w:t>
            </w:r>
          </w:p>
        </w:tc>
        <w:tc>
          <w:tcPr>
            <w:tcW w:w="3747"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经尿素回收装置后于85m高空排放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Merge w:val="continue"/>
            <w:vAlign w:val="center"/>
          </w:tcPr>
          <w:p>
            <w:pPr>
              <w:pStyle w:val="60"/>
              <w:spacing w:line="300" w:lineRule="exact"/>
              <w:jc w:val="center"/>
              <w:rPr>
                <w:rFonts w:ascii="宋体" w:hAnsi="宋体" w:eastAsia="宋体"/>
                <w:b w:val="0"/>
                <w:snapToGrid w:val="0"/>
                <w:spacing w:val="0"/>
                <w:kern w:val="0"/>
                <w:sz w:val="21"/>
                <w:szCs w:val="21"/>
              </w:rPr>
            </w:pP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转运扬尘</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尿素粉尘</w:t>
            </w:r>
          </w:p>
        </w:tc>
        <w:tc>
          <w:tcPr>
            <w:tcW w:w="3747" w:type="dxa"/>
            <w:vMerge w:val="restart"/>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袋式除尘后由30m高空排放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Merge w:val="continue"/>
            <w:vAlign w:val="center"/>
          </w:tcPr>
          <w:p>
            <w:pPr>
              <w:pStyle w:val="60"/>
              <w:spacing w:line="300" w:lineRule="exact"/>
              <w:jc w:val="center"/>
              <w:rPr>
                <w:rFonts w:ascii="宋体" w:hAnsi="宋体" w:eastAsia="宋体"/>
                <w:b w:val="0"/>
                <w:snapToGrid w:val="0"/>
                <w:spacing w:val="0"/>
                <w:kern w:val="0"/>
                <w:sz w:val="21"/>
                <w:szCs w:val="21"/>
              </w:rPr>
            </w:pP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包装扬尘</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尿素扬尘</w:t>
            </w:r>
          </w:p>
        </w:tc>
        <w:tc>
          <w:tcPr>
            <w:tcW w:w="3747" w:type="dxa"/>
            <w:vMerge w:val="continue"/>
            <w:vAlign w:val="center"/>
          </w:tcPr>
          <w:p>
            <w:pPr>
              <w:pStyle w:val="60"/>
              <w:spacing w:line="300" w:lineRule="exact"/>
              <w:jc w:val="center"/>
              <w:rPr>
                <w:rFonts w:ascii="宋体" w:hAnsi="宋体" w:eastAsia="宋体"/>
                <w:b w:val="0"/>
                <w:snapToGrid w:val="0"/>
                <w:spacing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废水</w:t>
            </w: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解吸废水</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NH</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、尿素</w:t>
            </w:r>
          </w:p>
        </w:tc>
        <w:tc>
          <w:tcPr>
            <w:tcW w:w="3747"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作为煤浆制备水回用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jc w:val="center"/>
        </w:trPr>
        <w:tc>
          <w:tcPr>
            <w:tcW w:w="871"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废渣</w:t>
            </w:r>
          </w:p>
        </w:tc>
        <w:tc>
          <w:tcPr>
            <w:tcW w:w="2049"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脱氢废触媒</w:t>
            </w:r>
          </w:p>
        </w:tc>
        <w:tc>
          <w:tcPr>
            <w:tcW w:w="2144"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Al</w:t>
            </w:r>
            <w:r>
              <w:rPr>
                <w:rFonts w:hint="eastAsia" w:ascii="宋体" w:hAnsi="宋体" w:eastAsia="宋体"/>
                <w:b w:val="0"/>
                <w:snapToGrid w:val="0"/>
                <w:spacing w:val="0"/>
                <w:kern w:val="0"/>
                <w:sz w:val="21"/>
                <w:szCs w:val="21"/>
                <w:vertAlign w:val="subscript"/>
              </w:rPr>
              <w:t>2</w:t>
            </w:r>
            <w:r>
              <w:rPr>
                <w:rFonts w:hint="eastAsia" w:ascii="宋体" w:hAnsi="宋体" w:eastAsia="宋体"/>
                <w:b w:val="0"/>
                <w:snapToGrid w:val="0"/>
                <w:spacing w:val="0"/>
                <w:kern w:val="0"/>
                <w:sz w:val="21"/>
                <w:szCs w:val="21"/>
              </w:rPr>
              <w:t>O</w:t>
            </w:r>
            <w:r>
              <w:rPr>
                <w:rFonts w:hint="eastAsia" w:ascii="宋体" w:hAnsi="宋体" w:eastAsia="宋体"/>
                <w:b w:val="0"/>
                <w:snapToGrid w:val="0"/>
                <w:spacing w:val="0"/>
                <w:kern w:val="0"/>
                <w:sz w:val="21"/>
                <w:szCs w:val="21"/>
                <w:vertAlign w:val="subscript"/>
              </w:rPr>
              <w:t>3</w:t>
            </w:r>
            <w:r>
              <w:rPr>
                <w:rFonts w:hint="eastAsia" w:ascii="宋体" w:hAnsi="宋体" w:eastAsia="宋体"/>
                <w:b w:val="0"/>
                <w:snapToGrid w:val="0"/>
                <w:spacing w:val="0"/>
                <w:kern w:val="0"/>
                <w:sz w:val="21"/>
                <w:szCs w:val="21"/>
              </w:rPr>
              <w:t>、Pt、Pd</w:t>
            </w:r>
          </w:p>
        </w:tc>
        <w:tc>
          <w:tcPr>
            <w:tcW w:w="3747" w:type="dxa"/>
            <w:vAlign w:val="center"/>
          </w:tcPr>
          <w:p>
            <w:pPr>
              <w:pStyle w:val="60"/>
              <w:spacing w:line="300" w:lineRule="exact"/>
              <w:jc w:val="center"/>
              <w:rPr>
                <w:rFonts w:ascii="宋体" w:hAnsi="宋体" w:eastAsia="宋体"/>
                <w:b w:val="0"/>
                <w:snapToGrid w:val="0"/>
                <w:spacing w:val="0"/>
                <w:kern w:val="0"/>
                <w:sz w:val="21"/>
                <w:szCs w:val="21"/>
              </w:rPr>
            </w:pPr>
            <w:r>
              <w:rPr>
                <w:rFonts w:hint="eastAsia" w:ascii="宋体" w:hAnsi="宋体" w:eastAsia="宋体"/>
                <w:b w:val="0"/>
                <w:snapToGrid w:val="0"/>
                <w:spacing w:val="0"/>
                <w:kern w:val="0"/>
                <w:sz w:val="21"/>
                <w:szCs w:val="21"/>
              </w:rPr>
              <w:t>有资质单位回收处置</w:t>
            </w:r>
          </w:p>
        </w:tc>
      </w:tr>
    </w:tbl>
    <w:p>
      <w:pPr>
        <w:pStyle w:val="11"/>
        <w:spacing w:line="520" w:lineRule="exact"/>
        <w:rPr>
          <w:rFonts w:ascii="微软雅黑" w:hAnsi="微软雅黑" w:eastAsia="微软雅黑" w:cs="微软雅黑"/>
          <w:sz w:val="22"/>
          <w:szCs w:val="22"/>
        </w:rPr>
      </w:pPr>
    </w:p>
    <w:p>
      <w:pPr>
        <w:pStyle w:val="11"/>
        <w:spacing w:line="520" w:lineRule="exact"/>
        <w:ind w:firstLine="330" w:firstLineChars="150"/>
        <w:rPr>
          <w:rFonts w:ascii="微软雅黑" w:hAnsi="微软雅黑" w:eastAsia="微软雅黑" w:cs="微软雅黑"/>
          <w:sz w:val="22"/>
          <w:szCs w:val="22"/>
        </w:rPr>
      </w:pPr>
      <w:r>
        <w:rPr>
          <w:rFonts w:hint="eastAsia" w:ascii="微软雅黑" w:hAnsi="微软雅黑" w:eastAsia="微软雅黑" w:cs="微软雅黑"/>
          <w:sz w:val="22"/>
          <w:szCs w:val="22"/>
        </w:rPr>
        <w:t>3.6.2 环保措施及设施</w:t>
      </w:r>
    </w:p>
    <w:p>
      <w:pPr>
        <w:adjustRightInd w:val="0"/>
        <w:snapToGrid w:val="0"/>
        <w:spacing w:line="276" w:lineRule="auto"/>
        <w:ind w:firstLine="44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根据环境影响评价报告及省环保厅的批复文件，严格按照国家标准和规范及设计要求进行建设。安阳中盈化肥有限公司环保设施包括：煤贮运防尘装置、尿素废气高排系统、尿素包装等各工段配套尾气处理、解析废液处理回收、生产装置隔声防噪装置、污水处理装置、事故水处理装置。防治设施如下：</w:t>
      </w:r>
    </w:p>
    <w:p>
      <w:pPr>
        <w:pStyle w:val="11"/>
        <w:spacing w:line="520" w:lineRule="exact"/>
        <w:ind w:firstLine="330" w:firstLineChars="150"/>
        <w:rPr>
          <w:rFonts w:ascii="微软雅黑" w:hAnsi="微软雅黑" w:eastAsia="微软雅黑" w:cs="微软雅黑"/>
          <w:sz w:val="22"/>
          <w:szCs w:val="22"/>
        </w:rPr>
      </w:pPr>
    </w:p>
    <w:p>
      <w:pPr>
        <w:spacing w:line="360" w:lineRule="auto"/>
        <w:rPr>
          <w:rFonts w:ascii="微软雅黑" w:hAnsi="微软雅黑" w:eastAsia="微软雅黑" w:cs="微软雅黑"/>
          <w:sz w:val="22"/>
          <w:szCs w:val="22"/>
        </w:rPr>
      </w:pPr>
      <w:r>
        <w:rPr>
          <w:rFonts w:hint="eastAsia" w:ascii="微软雅黑" w:hAnsi="微软雅黑" w:eastAsia="微软雅黑" w:cs="微软雅黑"/>
          <w:sz w:val="22"/>
          <w:szCs w:val="22"/>
        </w:rPr>
        <w:t>（1）</w:t>
      </w:r>
      <w:r>
        <w:rPr>
          <w:rFonts w:ascii="微软雅黑" w:hAnsi="微软雅黑" w:eastAsia="微软雅黑" w:cs="微软雅黑"/>
          <w:sz w:val="22"/>
          <w:szCs w:val="22"/>
        </w:rPr>
        <w:t xml:space="preserve"> </w:t>
      </w:r>
      <w:r>
        <w:rPr>
          <w:rFonts w:hint="eastAsia" w:ascii="微软雅黑" w:hAnsi="微软雅黑" w:eastAsia="微软雅黑" w:cs="微软雅黑"/>
          <w:sz w:val="22"/>
          <w:szCs w:val="22"/>
        </w:rPr>
        <w:t>废气处理设施一览表</w:t>
      </w:r>
    </w:p>
    <w:tbl>
      <w:tblPr>
        <w:tblStyle w:val="20"/>
        <w:tblpPr w:leftFromText="180" w:rightFromText="180" w:vertAnchor="text" w:tblpX="-937" w:tblpY="1"/>
        <w:tblOverlap w:val="never"/>
        <w:tblW w:w="10635"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28" w:type="dxa"/>
          <w:bottom w:w="0" w:type="dxa"/>
          <w:right w:w="28" w:type="dxa"/>
        </w:tblCellMar>
      </w:tblPr>
      <w:tblGrid>
        <w:gridCol w:w="1446"/>
        <w:gridCol w:w="2476"/>
        <w:gridCol w:w="2629"/>
        <w:gridCol w:w="2523"/>
        <w:gridCol w:w="15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5" w:hRule="atLeast"/>
        </w:trPr>
        <w:tc>
          <w:tcPr>
            <w:tcW w:w="1446" w:type="dxa"/>
            <w:tcBorders>
              <w:top w:val="single" w:color="auto" w:sz="4" w:space="0"/>
              <w:left w:val="single" w:color="000000" w:sz="6" w:space="0"/>
              <w:bottom w:val="single" w:color="auto" w:sz="4" w:space="0"/>
            </w:tcBorders>
            <w:vAlign w:val="center"/>
          </w:tcPr>
          <w:p>
            <w:pPr>
              <w:spacing w:line="300" w:lineRule="exact"/>
              <w:jc w:val="center"/>
              <w:rPr>
                <w:rFonts w:ascii="仿宋" w:hAnsi="仿宋" w:eastAsia="仿宋"/>
                <w:b/>
                <w:sz w:val="24"/>
                <w:szCs w:val="24"/>
              </w:rPr>
            </w:pPr>
            <w:r>
              <w:rPr>
                <w:rFonts w:hint="eastAsia" w:ascii="仿宋" w:hAnsi="仿宋" w:eastAsia="仿宋"/>
                <w:b/>
                <w:sz w:val="24"/>
                <w:szCs w:val="24"/>
              </w:rPr>
              <w:t>煤储运</w:t>
            </w: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煤贮运筒仓尾气</w:t>
            </w:r>
          </w:p>
        </w:tc>
        <w:tc>
          <w:tcPr>
            <w:tcW w:w="2629"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袋式除尘器，40米高空排放</w:t>
            </w:r>
          </w:p>
        </w:tc>
        <w:tc>
          <w:tcPr>
            <w:tcW w:w="2523" w:type="dxa"/>
            <w:tcBorders>
              <w:top w:val="single" w:color="auto" w:sz="4" w:space="0"/>
              <w:bottom w:val="single" w:color="auto" w:sz="4" w:space="0"/>
              <w:right w:val="single" w:color="auto" w:sz="4" w:space="0"/>
            </w:tcBorders>
            <w:vAlign w:val="center"/>
          </w:tcPr>
          <w:p>
            <w:pPr>
              <w:widowControl/>
              <w:spacing w:line="300" w:lineRule="exact"/>
              <w:rPr>
                <w:rFonts w:ascii="仿宋" w:hAnsi="仿宋" w:eastAsia="仿宋"/>
                <w:sz w:val="24"/>
                <w:szCs w:val="24"/>
              </w:rPr>
            </w:pPr>
            <w:r>
              <w:rPr>
                <w:rFonts w:hint="eastAsia" w:ascii="仿宋" w:hAnsi="仿宋" w:eastAsia="仿宋"/>
                <w:sz w:val="24"/>
                <w:szCs w:val="24"/>
              </w:rPr>
              <w:t>已按照要求安装完成</w:t>
            </w:r>
          </w:p>
        </w:tc>
        <w:tc>
          <w:tcPr>
            <w:tcW w:w="156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仿宋" w:hAnsi="仿宋" w:eastAsia="仿宋"/>
                <w:sz w:val="24"/>
                <w:szCs w:val="24"/>
              </w:rPr>
            </w:pPr>
            <w:r>
              <w:rPr>
                <w:rFonts w:hint="eastAsia" w:ascii="仿宋" w:hAnsi="仿宋" w:eastAsia="仿宋"/>
                <w:sz w:val="24"/>
                <w:szCs w:val="24"/>
              </w:rPr>
              <w:t>运行正常 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1446" w:type="dxa"/>
            <w:vMerge w:val="restart"/>
            <w:tcBorders>
              <w:top w:val="single" w:color="auto" w:sz="4" w:space="0"/>
              <w:left w:val="single" w:color="000000" w:sz="6" w:space="0"/>
            </w:tcBorders>
            <w:vAlign w:val="center"/>
          </w:tcPr>
          <w:p>
            <w:pPr>
              <w:spacing w:line="300" w:lineRule="exact"/>
              <w:jc w:val="center"/>
              <w:rPr>
                <w:rFonts w:ascii="仿宋" w:hAnsi="仿宋" w:eastAsia="仿宋"/>
                <w:b/>
                <w:sz w:val="24"/>
                <w:szCs w:val="24"/>
              </w:rPr>
            </w:pPr>
            <w:r>
              <w:rPr>
                <w:rFonts w:hint="eastAsia" w:ascii="仿宋" w:hAnsi="仿宋" w:eastAsia="仿宋"/>
                <w:b/>
                <w:sz w:val="24"/>
                <w:szCs w:val="24"/>
              </w:rPr>
              <w:t>尿素装置</w:t>
            </w: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低压吸收塔尾气</w:t>
            </w:r>
          </w:p>
        </w:tc>
        <w:tc>
          <w:tcPr>
            <w:tcW w:w="2629" w:type="dxa"/>
            <w:vMerge w:val="restart"/>
            <w:tcBorders>
              <w:top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75m高排气筒排放放空</w:t>
            </w:r>
          </w:p>
        </w:tc>
        <w:tc>
          <w:tcPr>
            <w:tcW w:w="2523" w:type="dxa"/>
            <w:vMerge w:val="restart"/>
            <w:tcBorders>
              <w:top w:val="single" w:color="auto" w:sz="4" w:space="0"/>
              <w:right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已按照要求安装完成</w:t>
            </w:r>
          </w:p>
        </w:tc>
        <w:tc>
          <w:tcPr>
            <w:tcW w:w="1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4"/>
                <w:szCs w:val="24"/>
              </w:rPr>
            </w:pPr>
            <w:r>
              <w:rPr>
                <w:rFonts w:hint="eastAsia" w:ascii="仿宋" w:hAnsi="仿宋" w:eastAsia="仿宋"/>
                <w:sz w:val="24"/>
                <w:szCs w:val="24"/>
              </w:rPr>
              <w:t>运行正常 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35" w:hRule="atLeast"/>
        </w:trPr>
        <w:tc>
          <w:tcPr>
            <w:tcW w:w="1446" w:type="dxa"/>
            <w:vMerge w:val="continue"/>
            <w:tcBorders>
              <w:left w:val="single" w:color="000000" w:sz="6" w:space="0"/>
            </w:tcBorders>
            <w:vAlign w:val="center"/>
          </w:tcPr>
          <w:p>
            <w:pPr>
              <w:spacing w:line="300" w:lineRule="exact"/>
              <w:jc w:val="center"/>
              <w:rPr>
                <w:rFonts w:ascii="仿宋" w:hAnsi="仿宋" w:eastAsia="仿宋"/>
                <w:b/>
                <w:sz w:val="24"/>
                <w:szCs w:val="24"/>
              </w:rPr>
            </w:pP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常压吸收塔尾气</w:t>
            </w:r>
          </w:p>
        </w:tc>
        <w:tc>
          <w:tcPr>
            <w:tcW w:w="2629" w:type="dxa"/>
            <w:vMerge w:val="continue"/>
            <w:tcBorders>
              <w:bottom w:val="single" w:color="auto" w:sz="4" w:space="0"/>
            </w:tcBorders>
            <w:vAlign w:val="center"/>
          </w:tcPr>
          <w:p>
            <w:pPr>
              <w:spacing w:line="300" w:lineRule="exact"/>
              <w:rPr>
                <w:rFonts w:ascii="仿宋" w:hAnsi="仿宋" w:eastAsia="仿宋"/>
                <w:sz w:val="24"/>
                <w:szCs w:val="24"/>
              </w:rPr>
            </w:pPr>
          </w:p>
        </w:tc>
        <w:tc>
          <w:tcPr>
            <w:tcW w:w="2523" w:type="dxa"/>
            <w:vMerge w:val="continue"/>
            <w:tcBorders>
              <w:bottom w:val="single" w:color="auto" w:sz="4" w:space="0"/>
              <w:right w:val="single" w:color="auto" w:sz="4" w:space="0"/>
            </w:tcBorders>
            <w:vAlign w:val="center"/>
          </w:tcPr>
          <w:p>
            <w:pPr>
              <w:spacing w:line="300" w:lineRule="exact"/>
              <w:rPr>
                <w:rFonts w:ascii="仿宋" w:hAnsi="仿宋" w:eastAsia="仿宋"/>
                <w:sz w:val="24"/>
                <w:szCs w:val="24"/>
              </w:rPr>
            </w:pPr>
          </w:p>
        </w:tc>
        <w:tc>
          <w:tcPr>
            <w:tcW w:w="1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4"/>
                <w:szCs w:val="24"/>
              </w:rPr>
            </w:pPr>
            <w:r>
              <w:rPr>
                <w:rFonts w:hint="eastAsia" w:ascii="仿宋" w:hAnsi="仿宋" w:eastAsia="仿宋"/>
                <w:sz w:val="24"/>
                <w:szCs w:val="24"/>
              </w:rPr>
              <w:t>运行正常 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trPr>
        <w:tc>
          <w:tcPr>
            <w:tcW w:w="1446" w:type="dxa"/>
            <w:vMerge w:val="continue"/>
            <w:tcBorders>
              <w:left w:val="single" w:color="000000" w:sz="6" w:space="0"/>
            </w:tcBorders>
            <w:vAlign w:val="center"/>
          </w:tcPr>
          <w:p>
            <w:pPr>
              <w:spacing w:line="300" w:lineRule="exact"/>
              <w:jc w:val="center"/>
              <w:rPr>
                <w:rFonts w:ascii="仿宋" w:hAnsi="仿宋" w:eastAsia="仿宋"/>
                <w:b/>
                <w:sz w:val="24"/>
                <w:szCs w:val="24"/>
              </w:rPr>
            </w:pP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造粒塔尾气</w:t>
            </w:r>
          </w:p>
        </w:tc>
        <w:tc>
          <w:tcPr>
            <w:tcW w:w="2629"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改造安装湿式除尘器回收尿素粉尘、氨收装置后由106m高排放</w:t>
            </w:r>
          </w:p>
        </w:tc>
        <w:tc>
          <w:tcPr>
            <w:tcW w:w="2523" w:type="dxa"/>
            <w:tcBorders>
              <w:top w:val="single" w:color="auto" w:sz="4" w:space="0"/>
              <w:bottom w:val="single" w:color="auto" w:sz="4" w:space="0"/>
              <w:right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已按照要求安装完成</w:t>
            </w:r>
          </w:p>
        </w:tc>
        <w:tc>
          <w:tcPr>
            <w:tcW w:w="1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4"/>
                <w:szCs w:val="24"/>
              </w:rPr>
            </w:pPr>
            <w:r>
              <w:rPr>
                <w:rFonts w:hint="eastAsia" w:ascii="仿宋" w:hAnsi="仿宋" w:eastAsia="仿宋"/>
                <w:sz w:val="24"/>
                <w:szCs w:val="24"/>
              </w:rPr>
              <w:t>运行正常 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50" w:hRule="atLeast"/>
        </w:trPr>
        <w:tc>
          <w:tcPr>
            <w:tcW w:w="1446" w:type="dxa"/>
            <w:vMerge w:val="continue"/>
            <w:tcBorders>
              <w:left w:val="single" w:color="000000" w:sz="6" w:space="0"/>
            </w:tcBorders>
            <w:vAlign w:val="center"/>
          </w:tcPr>
          <w:p>
            <w:pPr>
              <w:spacing w:line="300" w:lineRule="exact"/>
              <w:jc w:val="center"/>
              <w:rPr>
                <w:rFonts w:ascii="仿宋" w:hAnsi="仿宋" w:eastAsia="仿宋"/>
                <w:b/>
                <w:sz w:val="24"/>
                <w:szCs w:val="24"/>
              </w:rPr>
            </w:pP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尿素转运场扬尘</w:t>
            </w:r>
          </w:p>
        </w:tc>
        <w:tc>
          <w:tcPr>
            <w:tcW w:w="2629"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袋式除尘器+30m高</w:t>
            </w:r>
          </w:p>
          <w:p>
            <w:pPr>
              <w:spacing w:line="300" w:lineRule="exact"/>
              <w:rPr>
                <w:rFonts w:ascii="仿宋" w:hAnsi="仿宋" w:eastAsia="仿宋"/>
                <w:sz w:val="24"/>
                <w:szCs w:val="24"/>
              </w:rPr>
            </w:pPr>
            <w:r>
              <w:rPr>
                <w:rFonts w:hint="eastAsia" w:ascii="仿宋" w:hAnsi="仿宋" w:eastAsia="仿宋"/>
                <w:sz w:val="24"/>
                <w:szCs w:val="24"/>
              </w:rPr>
              <w:t>排气筒排放放空</w:t>
            </w:r>
          </w:p>
        </w:tc>
        <w:tc>
          <w:tcPr>
            <w:tcW w:w="2523" w:type="dxa"/>
            <w:tcBorders>
              <w:top w:val="single" w:color="auto" w:sz="4" w:space="0"/>
              <w:bottom w:val="single" w:color="auto" w:sz="4" w:space="0"/>
              <w:right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已按照要求安装完成</w:t>
            </w:r>
          </w:p>
        </w:tc>
        <w:tc>
          <w:tcPr>
            <w:tcW w:w="1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4"/>
                <w:szCs w:val="24"/>
              </w:rPr>
            </w:pPr>
            <w:r>
              <w:rPr>
                <w:rFonts w:hint="eastAsia" w:ascii="仿宋" w:hAnsi="仿宋" w:eastAsia="仿宋"/>
                <w:sz w:val="24"/>
                <w:szCs w:val="24"/>
              </w:rPr>
              <w:t>选择高效除尘器，符合环保规范要求，运行正常 超低排放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105" w:hRule="atLeast"/>
        </w:trPr>
        <w:tc>
          <w:tcPr>
            <w:tcW w:w="1446" w:type="dxa"/>
            <w:vMerge w:val="continue"/>
            <w:tcBorders>
              <w:left w:val="single" w:color="000000" w:sz="6" w:space="0"/>
              <w:bottom w:val="single" w:color="auto" w:sz="4" w:space="0"/>
            </w:tcBorders>
            <w:vAlign w:val="center"/>
          </w:tcPr>
          <w:p>
            <w:pPr>
              <w:spacing w:line="300" w:lineRule="exact"/>
              <w:jc w:val="center"/>
              <w:rPr>
                <w:rFonts w:ascii="仿宋" w:hAnsi="仿宋" w:eastAsia="仿宋"/>
                <w:b/>
                <w:sz w:val="24"/>
                <w:szCs w:val="24"/>
              </w:rPr>
            </w:pPr>
          </w:p>
        </w:tc>
        <w:tc>
          <w:tcPr>
            <w:tcW w:w="2476"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包装扬尘</w:t>
            </w:r>
          </w:p>
        </w:tc>
        <w:tc>
          <w:tcPr>
            <w:tcW w:w="2629" w:type="dxa"/>
            <w:tcBorders>
              <w:top w:val="single" w:color="auto" w:sz="4" w:space="0"/>
              <w:bottom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袋式除尘器+30m高</w:t>
            </w:r>
          </w:p>
          <w:p>
            <w:pPr>
              <w:spacing w:line="300" w:lineRule="exact"/>
              <w:rPr>
                <w:rFonts w:ascii="仿宋" w:hAnsi="仿宋" w:eastAsia="仿宋"/>
                <w:sz w:val="24"/>
                <w:szCs w:val="24"/>
              </w:rPr>
            </w:pPr>
            <w:r>
              <w:rPr>
                <w:rFonts w:hint="eastAsia" w:ascii="仿宋" w:hAnsi="仿宋" w:eastAsia="仿宋"/>
                <w:sz w:val="24"/>
                <w:szCs w:val="24"/>
              </w:rPr>
              <w:t>排气筒排放放空</w:t>
            </w:r>
          </w:p>
        </w:tc>
        <w:tc>
          <w:tcPr>
            <w:tcW w:w="2523" w:type="dxa"/>
            <w:tcBorders>
              <w:top w:val="single" w:color="auto" w:sz="4" w:space="0"/>
              <w:bottom w:val="single" w:color="auto" w:sz="4" w:space="0"/>
              <w:right w:val="single" w:color="auto" w:sz="4" w:space="0"/>
            </w:tcBorders>
            <w:vAlign w:val="center"/>
          </w:tcPr>
          <w:p>
            <w:pPr>
              <w:spacing w:line="300" w:lineRule="exact"/>
              <w:rPr>
                <w:rFonts w:ascii="仿宋" w:hAnsi="仿宋" w:eastAsia="仿宋"/>
                <w:sz w:val="24"/>
                <w:szCs w:val="24"/>
              </w:rPr>
            </w:pPr>
            <w:r>
              <w:rPr>
                <w:rFonts w:hint="eastAsia" w:ascii="仿宋" w:hAnsi="仿宋" w:eastAsia="仿宋"/>
                <w:sz w:val="24"/>
                <w:szCs w:val="24"/>
              </w:rPr>
              <w:t>已按照要求安装完成</w:t>
            </w:r>
          </w:p>
        </w:tc>
        <w:tc>
          <w:tcPr>
            <w:tcW w:w="1561"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sz w:val="24"/>
                <w:szCs w:val="24"/>
              </w:rPr>
            </w:pPr>
            <w:r>
              <w:rPr>
                <w:rFonts w:hint="eastAsia" w:ascii="仿宋" w:hAnsi="仿宋" w:eastAsia="仿宋"/>
                <w:sz w:val="24"/>
                <w:szCs w:val="24"/>
              </w:rPr>
              <w:t>选择高效除尘器，符合环保规范要求运行正常 超低排放</w:t>
            </w:r>
          </w:p>
        </w:tc>
      </w:tr>
    </w:tbl>
    <w:p>
      <w:pPr>
        <w:spacing w:line="360" w:lineRule="auto"/>
        <w:rPr>
          <w:rFonts w:ascii="微软雅黑" w:hAnsi="微软雅黑" w:eastAsia="微软雅黑" w:cs="微软雅黑"/>
          <w:sz w:val="22"/>
          <w:szCs w:val="22"/>
        </w:rPr>
      </w:pPr>
    </w:p>
    <w:p>
      <w:pPr>
        <w:spacing w:line="360" w:lineRule="auto"/>
        <w:rPr>
          <w:rFonts w:ascii="微软雅黑" w:hAnsi="微软雅黑" w:eastAsia="微软雅黑" w:cs="微软雅黑"/>
          <w:sz w:val="22"/>
          <w:szCs w:val="22"/>
        </w:rPr>
      </w:pPr>
      <w:r>
        <w:rPr>
          <w:rFonts w:hint="eastAsia" w:ascii="微软雅黑" w:hAnsi="微软雅黑" w:eastAsia="微软雅黑" w:cs="微软雅黑"/>
          <w:sz w:val="22"/>
          <w:szCs w:val="22"/>
        </w:rPr>
        <w:t>（2）废水处理设施一览表</w:t>
      </w:r>
    </w:p>
    <w:tbl>
      <w:tblPr>
        <w:tblStyle w:val="20"/>
        <w:tblpPr w:leftFromText="180" w:rightFromText="180" w:vertAnchor="text" w:horzAnchor="page" w:tblpX="975" w:tblpY="186"/>
        <w:tblOverlap w:val="never"/>
        <w:tblW w:w="9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4"/>
        <w:gridCol w:w="3969"/>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60" w:lineRule="auto"/>
              <w:rPr>
                <w:rFonts w:ascii="宋体" w:hAnsi="宋体" w:cs="宋体"/>
                <w:b/>
                <w:szCs w:val="21"/>
              </w:rPr>
            </w:pPr>
            <w:r>
              <w:rPr>
                <w:rFonts w:hint="eastAsia" w:ascii="宋体" w:hAnsi="宋体" w:cs="宋体"/>
                <w:b/>
                <w:szCs w:val="21"/>
              </w:rPr>
              <w:t>环保设施</w:t>
            </w:r>
          </w:p>
        </w:tc>
        <w:tc>
          <w:tcPr>
            <w:tcW w:w="3969" w:type="dxa"/>
          </w:tcPr>
          <w:p>
            <w:pPr>
              <w:spacing w:line="300" w:lineRule="exact"/>
              <w:rPr>
                <w:rFonts w:ascii="宋体" w:hAnsi="宋体" w:cs="宋体"/>
                <w:b/>
                <w:szCs w:val="21"/>
              </w:rPr>
            </w:pPr>
            <w:r>
              <w:rPr>
                <w:rFonts w:hint="eastAsia" w:ascii="宋体" w:hAnsi="宋体" w:cs="宋体"/>
                <w:b/>
                <w:szCs w:val="21"/>
              </w:rPr>
              <w:t>建设情况</w:t>
            </w:r>
          </w:p>
        </w:tc>
        <w:tc>
          <w:tcPr>
            <w:tcW w:w="2558" w:type="dxa"/>
            <w:vAlign w:val="center"/>
          </w:tcPr>
          <w:p>
            <w:pPr>
              <w:spacing w:line="300" w:lineRule="exact"/>
              <w:rPr>
                <w:rFonts w:ascii="宋体" w:hAnsi="宋体" w:cs="宋体"/>
                <w:b/>
                <w:szCs w:val="21"/>
              </w:rPr>
            </w:pPr>
            <w:r>
              <w:rPr>
                <w:rFonts w:hint="eastAsia" w:ascii="宋体" w:hAnsi="宋体" w:cs="宋体"/>
                <w:b/>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ascii="宋体" w:hAnsi="宋体" w:cs="宋体"/>
                <w:bCs/>
                <w:szCs w:val="21"/>
              </w:rPr>
            </w:pPr>
            <w:r>
              <w:rPr>
                <w:rFonts w:hint="eastAsia" w:ascii="宋体" w:hAnsi="宋体" w:cs="宋体"/>
                <w:bCs/>
                <w:szCs w:val="21"/>
              </w:rPr>
              <w:t>清污分流、污污分流、雨污分流措施，污水排放口，雨水排放口。</w:t>
            </w:r>
          </w:p>
        </w:tc>
        <w:tc>
          <w:tcPr>
            <w:tcW w:w="3969" w:type="dxa"/>
          </w:tcPr>
          <w:p>
            <w:pPr>
              <w:spacing w:line="300" w:lineRule="exact"/>
              <w:rPr>
                <w:rFonts w:ascii="宋体" w:hAnsi="宋体" w:cs="宋体"/>
                <w:bCs/>
                <w:szCs w:val="21"/>
              </w:rPr>
            </w:pPr>
            <w:r>
              <w:rPr>
                <w:rFonts w:hint="eastAsia" w:ascii="宋体" w:hAnsi="宋体" w:cs="宋体"/>
                <w:bCs/>
                <w:szCs w:val="21"/>
              </w:rPr>
              <w:t>厂区排水管线有清水、污水、雨水，实现清污分流、污污分流、雨污分流</w:t>
            </w:r>
          </w:p>
        </w:tc>
        <w:tc>
          <w:tcPr>
            <w:tcW w:w="2558" w:type="dxa"/>
            <w:vAlign w:val="center"/>
          </w:tcPr>
          <w:p>
            <w:pPr>
              <w:spacing w:line="300" w:lineRule="exact"/>
              <w:rPr>
                <w:rFonts w:ascii="宋体" w:hAnsi="宋体" w:cs="宋体"/>
                <w:bCs/>
                <w:szCs w:val="21"/>
              </w:rPr>
            </w:pPr>
            <w:r>
              <w:rPr>
                <w:rFonts w:hint="eastAsia" w:ascii="宋体" w:hAnsi="宋体" w:cs="宋体"/>
                <w:bCs/>
                <w:szCs w:val="21"/>
              </w:rPr>
              <w:t>各管线分流，运行正常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3414" w:type="dxa"/>
          </w:tcPr>
          <w:p>
            <w:pPr>
              <w:spacing w:line="300" w:lineRule="exact"/>
              <w:rPr>
                <w:rFonts w:ascii="宋体" w:hAnsi="宋体" w:cs="宋体"/>
                <w:bCs/>
                <w:szCs w:val="21"/>
              </w:rPr>
            </w:pPr>
            <w:r>
              <w:rPr>
                <w:rFonts w:hint="eastAsia" w:ascii="宋体" w:hAnsi="宋体" w:cs="宋体"/>
                <w:bCs/>
                <w:szCs w:val="21"/>
              </w:rPr>
              <w:t>终端废水处理装1200m3/d，IMC+BAF；处理后达标排放COD41mg/l、氨氮3.22mg/l、氰化物0.072mg/l、硫化物0.085mg/l。</w:t>
            </w:r>
          </w:p>
        </w:tc>
        <w:tc>
          <w:tcPr>
            <w:tcW w:w="3969" w:type="dxa"/>
          </w:tcPr>
          <w:p>
            <w:pPr>
              <w:spacing w:line="300" w:lineRule="exact"/>
              <w:rPr>
                <w:rFonts w:ascii="宋体" w:hAnsi="宋体" w:cs="宋体"/>
                <w:bCs/>
                <w:szCs w:val="21"/>
              </w:rPr>
            </w:pPr>
            <w:r>
              <w:rPr>
                <w:rFonts w:hint="eastAsia" w:ascii="宋体" w:hAnsi="宋体" w:cs="宋体"/>
                <w:bCs/>
                <w:szCs w:val="21"/>
              </w:rPr>
              <w:t>在建设1200m3/d，IMC+BAF污水处理基础上，增加脱磷脱氮系统，去除总磷、总氮。</w:t>
            </w:r>
          </w:p>
          <w:p>
            <w:pPr>
              <w:spacing w:line="300" w:lineRule="exact"/>
              <w:rPr>
                <w:rFonts w:ascii="宋体" w:hAnsi="宋体" w:cs="宋体"/>
                <w:bCs/>
                <w:szCs w:val="21"/>
              </w:rPr>
            </w:pPr>
          </w:p>
        </w:tc>
        <w:tc>
          <w:tcPr>
            <w:tcW w:w="2558" w:type="dxa"/>
            <w:vAlign w:val="center"/>
          </w:tcPr>
          <w:p>
            <w:pPr>
              <w:spacing w:line="300" w:lineRule="exact"/>
              <w:rPr>
                <w:rFonts w:ascii="宋体" w:hAnsi="宋体" w:cs="宋体"/>
                <w:bCs/>
                <w:szCs w:val="21"/>
              </w:rPr>
            </w:pPr>
            <w:r>
              <w:rPr>
                <w:rFonts w:hint="eastAsia" w:ascii="宋体" w:hAnsi="宋体" w:cs="宋体"/>
                <w:bCs/>
                <w:szCs w:val="21"/>
              </w:rPr>
              <w:t>运行正常运行正常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ascii="宋体" w:hAnsi="宋体" w:cs="宋体"/>
                <w:bCs/>
                <w:szCs w:val="21"/>
              </w:rPr>
            </w:pPr>
            <w:r>
              <w:rPr>
                <w:rFonts w:hint="eastAsia" w:ascii="宋体" w:hAnsi="宋体" w:cs="宋体"/>
                <w:bCs/>
                <w:szCs w:val="21"/>
              </w:rPr>
              <w:t>全厂设置一个规范化废水排放口，安装流量和COD、氨氮在线监测装置。联网。</w:t>
            </w:r>
          </w:p>
        </w:tc>
        <w:tc>
          <w:tcPr>
            <w:tcW w:w="3969" w:type="dxa"/>
          </w:tcPr>
          <w:p>
            <w:pPr>
              <w:spacing w:line="300" w:lineRule="exact"/>
              <w:rPr>
                <w:rFonts w:ascii="宋体" w:hAnsi="宋体" w:cs="宋体"/>
                <w:bCs/>
                <w:szCs w:val="21"/>
              </w:rPr>
            </w:pPr>
            <w:r>
              <w:rPr>
                <w:rFonts w:hint="eastAsia" w:ascii="宋体" w:hAnsi="宋体" w:cs="宋体"/>
                <w:bCs/>
                <w:szCs w:val="21"/>
              </w:rPr>
              <w:t>已按照要求将全部监测设备安装调试完毕，已与省环保厅、县环保局监控中心联网运行。</w:t>
            </w:r>
          </w:p>
        </w:tc>
        <w:tc>
          <w:tcPr>
            <w:tcW w:w="2558" w:type="dxa"/>
            <w:vAlign w:val="center"/>
          </w:tcPr>
          <w:p>
            <w:pPr>
              <w:spacing w:line="300" w:lineRule="exact"/>
              <w:rPr>
                <w:rFonts w:ascii="宋体" w:hAnsi="宋体" w:cs="宋体"/>
                <w:bCs/>
                <w:szCs w:val="21"/>
              </w:rPr>
            </w:pPr>
            <w:r>
              <w:rPr>
                <w:rFonts w:hint="eastAsia" w:ascii="宋体" w:hAnsi="宋体" w:cs="宋体"/>
                <w:bCs/>
                <w:szCs w:val="21"/>
              </w:rPr>
              <w:t>设备运行正常 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4" w:type="dxa"/>
          </w:tcPr>
          <w:p>
            <w:pPr>
              <w:spacing w:line="300" w:lineRule="exact"/>
              <w:rPr>
                <w:rFonts w:ascii="宋体" w:hAnsi="宋体" w:cs="宋体"/>
                <w:bCs/>
                <w:szCs w:val="21"/>
              </w:rPr>
            </w:pPr>
            <w:r>
              <w:rPr>
                <w:rFonts w:hint="eastAsia" w:ascii="宋体" w:hAnsi="宋体" w:cs="宋体"/>
                <w:bCs/>
                <w:szCs w:val="21"/>
              </w:rPr>
              <w:t>合成、尿素装置区建一个事故废水储池8000立方米。</w:t>
            </w:r>
          </w:p>
        </w:tc>
        <w:tc>
          <w:tcPr>
            <w:tcW w:w="3969" w:type="dxa"/>
          </w:tcPr>
          <w:p>
            <w:pPr>
              <w:spacing w:line="300" w:lineRule="exact"/>
              <w:rPr>
                <w:rFonts w:ascii="宋体" w:hAnsi="宋体" w:cs="宋体"/>
                <w:bCs/>
                <w:szCs w:val="21"/>
              </w:rPr>
            </w:pPr>
            <w:r>
              <w:rPr>
                <w:rFonts w:hint="eastAsia" w:ascii="宋体" w:hAnsi="宋体" w:cs="宋体"/>
                <w:bCs/>
                <w:szCs w:val="21"/>
              </w:rPr>
              <w:t>已建设完成并投用</w:t>
            </w:r>
          </w:p>
        </w:tc>
        <w:tc>
          <w:tcPr>
            <w:tcW w:w="2558" w:type="dxa"/>
          </w:tcPr>
          <w:p>
            <w:pPr>
              <w:spacing w:line="300" w:lineRule="exact"/>
              <w:rPr>
                <w:rFonts w:ascii="宋体" w:hAnsi="宋体" w:cs="宋体"/>
                <w:bCs/>
                <w:szCs w:val="21"/>
              </w:rPr>
            </w:pPr>
            <w:r>
              <w:rPr>
                <w:rFonts w:hint="eastAsia" w:ascii="宋体" w:hAnsi="宋体" w:cs="宋体"/>
                <w:bCs/>
                <w:szCs w:val="21"/>
              </w:rPr>
              <w:t>未发生环保事故，设计能满足要。</w:t>
            </w:r>
          </w:p>
        </w:tc>
      </w:tr>
    </w:tbl>
    <w:p>
      <w:pPr>
        <w:pStyle w:val="4"/>
      </w:pPr>
    </w:p>
    <w:p>
      <w:pPr>
        <w:pStyle w:val="5"/>
      </w:pPr>
    </w:p>
    <w:tbl>
      <w:tblPr>
        <w:tblStyle w:val="20"/>
        <w:tblpPr w:leftFromText="180" w:rightFromText="180" w:vertAnchor="text" w:horzAnchor="page" w:tblpXSpec="center" w:tblpY="937"/>
        <w:tblOverlap w:val="never"/>
        <w:tblW w:w="10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3685"/>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pPr>
              <w:spacing w:line="360" w:lineRule="auto"/>
              <w:rPr>
                <w:rFonts w:ascii="宋体" w:hAnsi="宋体" w:cs="宋体"/>
                <w:bCs/>
                <w:szCs w:val="21"/>
              </w:rPr>
            </w:pPr>
            <w:r>
              <w:rPr>
                <w:rFonts w:hint="eastAsia" w:ascii="宋体" w:hAnsi="宋体" w:cs="宋体"/>
                <w:bCs/>
                <w:szCs w:val="21"/>
              </w:rPr>
              <w:t>环保设施</w:t>
            </w:r>
          </w:p>
        </w:tc>
        <w:tc>
          <w:tcPr>
            <w:tcW w:w="3685" w:type="dxa"/>
            <w:vAlign w:val="center"/>
          </w:tcPr>
          <w:p>
            <w:pPr>
              <w:spacing w:line="360" w:lineRule="auto"/>
              <w:rPr>
                <w:rFonts w:ascii="宋体" w:hAnsi="宋体" w:cs="宋体"/>
                <w:bCs/>
                <w:szCs w:val="21"/>
              </w:rPr>
            </w:pPr>
            <w:r>
              <w:rPr>
                <w:rFonts w:hint="eastAsia" w:ascii="宋体" w:hAnsi="宋体" w:cs="宋体"/>
                <w:bCs/>
                <w:szCs w:val="21"/>
              </w:rPr>
              <w:t>建设情况</w:t>
            </w:r>
          </w:p>
        </w:tc>
        <w:tc>
          <w:tcPr>
            <w:tcW w:w="2949" w:type="dxa"/>
            <w:vAlign w:val="center"/>
          </w:tcPr>
          <w:p>
            <w:pPr>
              <w:spacing w:line="360" w:lineRule="auto"/>
              <w:rPr>
                <w:rFonts w:ascii="宋体" w:hAnsi="宋体" w:cs="宋体"/>
                <w:bCs/>
                <w:szCs w:val="21"/>
              </w:rPr>
            </w:pPr>
            <w:r>
              <w:rPr>
                <w:rFonts w:hint="eastAsia" w:ascii="宋体" w:hAnsi="宋体" w:cs="宋体"/>
                <w:bCs/>
                <w:szCs w:val="21"/>
              </w:rPr>
              <w:t>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428" w:type="dxa"/>
          </w:tcPr>
          <w:p>
            <w:pPr>
              <w:spacing w:line="360" w:lineRule="auto"/>
              <w:rPr>
                <w:rFonts w:ascii="宋体" w:hAnsi="宋体" w:cs="宋体"/>
                <w:bCs/>
                <w:szCs w:val="21"/>
              </w:rPr>
            </w:pPr>
            <w:r>
              <w:rPr>
                <w:rFonts w:hint="eastAsia" w:ascii="宋体" w:hAnsi="宋体" w:cs="宋体"/>
                <w:bCs/>
                <w:szCs w:val="21"/>
              </w:rPr>
              <w:t>废催化剂等危险废物的三防储存场所</w:t>
            </w:r>
          </w:p>
        </w:tc>
        <w:tc>
          <w:tcPr>
            <w:tcW w:w="3685" w:type="dxa"/>
          </w:tcPr>
          <w:p>
            <w:pPr>
              <w:spacing w:line="360" w:lineRule="auto"/>
              <w:rPr>
                <w:rFonts w:ascii="宋体" w:hAnsi="宋体" w:cs="宋体"/>
                <w:bCs/>
                <w:szCs w:val="21"/>
              </w:rPr>
            </w:pPr>
            <w:r>
              <w:rPr>
                <w:rFonts w:hint="eastAsia" w:ascii="宋体" w:hAnsi="宋体" w:cs="宋体"/>
                <w:bCs/>
                <w:szCs w:val="21"/>
              </w:rPr>
              <w:t>建设一座规范的危废储存场所，废催化剂由厂家直接回收，已签定回收协议</w:t>
            </w:r>
          </w:p>
        </w:tc>
        <w:tc>
          <w:tcPr>
            <w:tcW w:w="2949" w:type="dxa"/>
          </w:tcPr>
          <w:p>
            <w:pPr>
              <w:spacing w:line="360" w:lineRule="auto"/>
              <w:rPr>
                <w:rFonts w:ascii="宋体" w:hAnsi="宋体" w:cs="宋体"/>
                <w:bCs/>
                <w:szCs w:val="21"/>
              </w:rPr>
            </w:pPr>
            <w:r>
              <w:rPr>
                <w:rFonts w:hint="eastAsia" w:ascii="宋体" w:hAnsi="宋体" w:cs="宋体"/>
                <w:bCs/>
                <w:szCs w:val="21"/>
              </w:rPr>
              <w:t>正常使用中，催化剂未到使用期限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3428" w:type="dxa"/>
          </w:tcPr>
          <w:p>
            <w:pPr>
              <w:spacing w:line="360" w:lineRule="auto"/>
              <w:rPr>
                <w:rFonts w:ascii="宋体" w:hAnsi="宋体" w:cs="宋体"/>
                <w:bCs/>
                <w:szCs w:val="21"/>
              </w:rPr>
            </w:pPr>
            <w:r>
              <w:rPr>
                <w:rFonts w:hint="eastAsia" w:ascii="宋体" w:hAnsi="宋体" w:cs="宋体"/>
                <w:bCs/>
                <w:szCs w:val="21"/>
              </w:rPr>
              <w:t>污水处理污泥</w:t>
            </w:r>
          </w:p>
        </w:tc>
        <w:tc>
          <w:tcPr>
            <w:tcW w:w="3685" w:type="dxa"/>
          </w:tcPr>
          <w:p>
            <w:pPr>
              <w:spacing w:line="360" w:lineRule="auto"/>
              <w:rPr>
                <w:rFonts w:ascii="宋体" w:hAnsi="宋体" w:cs="宋体"/>
                <w:bCs/>
                <w:szCs w:val="21"/>
              </w:rPr>
            </w:pPr>
            <w:r>
              <w:rPr>
                <w:rFonts w:hint="eastAsia" w:ascii="宋体" w:hAnsi="宋体" w:cs="宋体"/>
                <w:bCs/>
                <w:szCs w:val="21"/>
              </w:rPr>
              <w:t>与安阳盈德气体有限公司共同建设一个污泥临时处置场所，污泥运至煤储运掺入煤中送至气化炉焚烧。</w:t>
            </w:r>
          </w:p>
        </w:tc>
        <w:tc>
          <w:tcPr>
            <w:tcW w:w="2949" w:type="dxa"/>
          </w:tcPr>
          <w:p>
            <w:pPr>
              <w:spacing w:line="360" w:lineRule="auto"/>
              <w:rPr>
                <w:rFonts w:ascii="宋体" w:hAnsi="宋体" w:cs="宋体"/>
                <w:bCs/>
                <w:szCs w:val="21"/>
              </w:rPr>
            </w:pPr>
            <w:r>
              <w:rPr>
                <w:rFonts w:hint="eastAsia" w:ascii="宋体" w:hAnsi="宋体" w:cs="宋体"/>
                <w:bCs/>
                <w:szCs w:val="21"/>
              </w:rPr>
              <w:t>已开始执行，并制订了污泥处置管理规定</w:t>
            </w:r>
          </w:p>
        </w:tc>
      </w:tr>
    </w:tbl>
    <w:p>
      <w:pPr>
        <w:spacing w:line="360" w:lineRule="auto"/>
        <w:rPr>
          <w:rFonts w:ascii="微软雅黑" w:hAnsi="微软雅黑" w:eastAsia="微软雅黑" w:cs="微软雅黑"/>
          <w:sz w:val="22"/>
          <w:szCs w:val="22"/>
        </w:rPr>
      </w:pPr>
      <w:r>
        <w:rPr>
          <w:rFonts w:hint="eastAsia" w:ascii="微软雅黑" w:hAnsi="微软雅黑" w:eastAsia="微软雅黑" w:cs="微软雅黑"/>
          <w:sz w:val="22"/>
          <w:szCs w:val="22"/>
        </w:rPr>
        <w:t>（3）危废/固体废物设施一览表</w:t>
      </w:r>
    </w:p>
    <w:p>
      <w:pPr>
        <w:pStyle w:val="14"/>
        <w:jc w:val="left"/>
        <w:rPr>
          <w:rFonts w:ascii="宋体" w:hAnsi="宋体" w:cs="宋体"/>
          <w:sz w:val="28"/>
          <w:szCs w:val="28"/>
        </w:rPr>
      </w:pPr>
    </w:p>
    <w:p>
      <w:pPr>
        <w:pStyle w:val="14"/>
        <w:jc w:val="left"/>
        <w:rPr>
          <w:rFonts w:ascii="宋体" w:hAnsi="宋体" w:cs="宋体"/>
          <w:sz w:val="28"/>
          <w:szCs w:val="28"/>
        </w:rPr>
      </w:pPr>
    </w:p>
    <w:p>
      <w:pPr>
        <w:pStyle w:val="14"/>
        <w:jc w:val="left"/>
        <w:rPr>
          <w:rFonts w:ascii="宋体" w:hAnsi="宋体" w:cs="宋体"/>
          <w:sz w:val="28"/>
          <w:szCs w:val="28"/>
        </w:rPr>
      </w:pPr>
    </w:p>
    <w:p>
      <w:pPr>
        <w:pStyle w:val="14"/>
        <w:jc w:val="left"/>
        <w:rPr>
          <w:rFonts w:ascii="宋体" w:hAnsi="宋体" w:cs="宋体"/>
          <w:sz w:val="28"/>
          <w:szCs w:val="28"/>
        </w:rPr>
      </w:pPr>
    </w:p>
    <w:p>
      <w:pPr>
        <w:pStyle w:val="14"/>
        <w:jc w:val="left"/>
        <w:rPr>
          <w:rFonts w:ascii="宋体" w:hAnsi="宋体" w:cs="宋体"/>
          <w:sz w:val="28"/>
          <w:szCs w:val="28"/>
        </w:rPr>
      </w:pPr>
    </w:p>
    <w:p>
      <w:pPr>
        <w:pStyle w:val="14"/>
        <w:jc w:val="left"/>
        <w:rPr>
          <w:rFonts w:ascii="宋体" w:hAnsi="宋体" w:cs="宋体"/>
          <w:sz w:val="28"/>
          <w:szCs w:val="28"/>
        </w:rPr>
      </w:pPr>
    </w:p>
    <w:p>
      <w:pPr>
        <w:spacing w:line="360" w:lineRule="auto"/>
        <w:rPr>
          <w:rFonts w:ascii="微软雅黑" w:hAnsi="微软雅黑" w:eastAsia="微软雅黑" w:cs="微软雅黑"/>
          <w:sz w:val="22"/>
          <w:szCs w:val="22"/>
        </w:rPr>
      </w:pPr>
      <w:r>
        <w:rPr>
          <w:rFonts w:hint="eastAsia" w:ascii="微软雅黑" w:hAnsi="微软雅黑" w:eastAsia="微软雅黑" w:cs="微软雅黑"/>
          <w:sz w:val="22"/>
          <w:szCs w:val="22"/>
        </w:rPr>
        <w:t>（4）噪声防治措施</w:t>
      </w:r>
    </w:p>
    <w:tbl>
      <w:tblPr>
        <w:tblStyle w:val="20"/>
        <w:tblpPr w:leftFromText="180" w:rightFromText="180" w:vertAnchor="text" w:horzAnchor="page" w:tblpX="1289" w:tblpY="404"/>
        <w:tblOverlap w:val="never"/>
        <w:tblW w:w="9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368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6" w:type="dxa"/>
            <w:vAlign w:val="center"/>
          </w:tcPr>
          <w:p>
            <w:pPr>
              <w:spacing w:line="360" w:lineRule="auto"/>
              <w:rPr>
                <w:rFonts w:ascii="宋体" w:hAnsi="宋体" w:cs="宋体"/>
                <w:bCs/>
                <w:szCs w:val="21"/>
              </w:rPr>
            </w:pPr>
            <w:r>
              <w:rPr>
                <w:rFonts w:hint="eastAsia" w:ascii="宋体" w:hAnsi="宋体" w:cs="宋体"/>
                <w:bCs/>
                <w:szCs w:val="21"/>
              </w:rPr>
              <w:t>环保设施</w:t>
            </w:r>
          </w:p>
        </w:tc>
        <w:tc>
          <w:tcPr>
            <w:tcW w:w="3685" w:type="dxa"/>
            <w:vAlign w:val="center"/>
          </w:tcPr>
          <w:p>
            <w:pPr>
              <w:spacing w:line="360" w:lineRule="auto"/>
              <w:rPr>
                <w:rFonts w:ascii="宋体" w:hAnsi="宋体" w:cs="宋体"/>
                <w:bCs/>
                <w:szCs w:val="21"/>
              </w:rPr>
            </w:pPr>
            <w:r>
              <w:rPr>
                <w:rFonts w:hint="eastAsia" w:ascii="宋体" w:hAnsi="宋体" w:cs="宋体"/>
                <w:bCs/>
                <w:szCs w:val="21"/>
              </w:rPr>
              <w:t>建设情况</w:t>
            </w:r>
          </w:p>
        </w:tc>
        <w:tc>
          <w:tcPr>
            <w:tcW w:w="3181" w:type="dxa"/>
            <w:vAlign w:val="center"/>
          </w:tcPr>
          <w:p>
            <w:pPr>
              <w:spacing w:line="360" w:lineRule="auto"/>
              <w:rPr>
                <w:rFonts w:ascii="宋体" w:hAnsi="宋体" w:cs="宋体"/>
                <w:bCs/>
                <w:szCs w:val="21"/>
              </w:rPr>
            </w:pPr>
            <w:r>
              <w:rPr>
                <w:rFonts w:hint="eastAsia" w:ascii="宋体" w:hAnsi="宋体" w:cs="宋体"/>
                <w:bCs/>
                <w:szCs w:val="21"/>
              </w:rPr>
              <w:t>运行情况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816" w:type="dxa"/>
          </w:tcPr>
          <w:p>
            <w:pPr>
              <w:spacing w:line="360" w:lineRule="auto"/>
              <w:rPr>
                <w:rFonts w:ascii="宋体" w:hAnsi="宋体" w:cs="宋体"/>
                <w:bCs/>
                <w:szCs w:val="21"/>
              </w:rPr>
            </w:pPr>
            <w:r>
              <w:rPr>
                <w:rFonts w:hint="eastAsia" w:ascii="宋体" w:hAnsi="宋体" w:cs="宋体"/>
                <w:bCs/>
                <w:szCs w:val="21"/>
              </w:rPr>
              <w:t>隔声降噪</w:t>
            </w:r>
          </w:p>
        </w:tc>
        <w:tc>
          <w:tcPr>
            <w:tcW w:w="3685" w:type="dxa"/>
          </w:tcPr>
          <w:p>
            <w:pPr>
              <w:spacing w:line="360" w:lineRule="auto"/>
              <w:rPr>
                <w:rFonts w:ascii="宋体" w:hAnsi="宋体" w:cs="宋体"/>
                <w:bCs/>
                <w:szCs w:val="21"/>
              </w:rPr>
            </w:pPr>
            <w:r>
              <w:rPr>
                <w:rFonts w:hint="eastAsia" w:ascii="宋体" w:hAnsi="宋体" w:cs="宋体"/>
                <w:bCs/>
                <w:szCs w:val="21"/>
              </w:rPr>
              <w:t>厂房已安装隔声板，设备基座防震。</w:t>
            </w:r>
          </w:p>
        </w:tc>
        <w:tc>
          <w:tcPr>
            <w:tcW w:w="3181" w:type="dxa"/>
          </w:tcPr>
          <w:p>
            <w:pPr>
              <w:spacing w:line="360" w:lineRule="auto"/>
              <w:rPr>
                <w:rFonts w:ascii="宋体" w:hAnsi="宋体" w:cs="宋体"/>
                <w:bCs/>
                <w:szCs w:val="21"/>
              </w:rPr>
            </w:pPr>
            <w:r>
              <w:rPr>
                <w:rFonts w:hint="eastAsia" w:ascii="宋体" w:hAnsi="宋体" w:cs="宋体"/>
                <w:bCs/>
                <w:szCs w:val="21"/>
              </w:rPr>
              <w:t>厂区对外噪声影响在环保要求控制范围之内，降噪明显</w:t>
            </w:r>
          </w:p>
        </w:tc>
      </w:tr>
    </w:tbl>
    <w:p>
      <w:pPr>
        <w:pStyle w:val="3"/>
      </w:pPr>
    </w:p>
    <w:p>
      <w:pPr>
        <w:pStyle w:val="6"/>
        <w:rPr>
          <w:rFonts w:ascii="微软雅黑" w:hAnsi="微软雅黑" w:cs="微软雅黑"/>
          <w:b w:val="0"/>
          <w:spacing w:val="-7"/>
          <w:kern w:val="2"/>
          <w:sz w:val="22"/>
          <w:szCs w:val="22"/>
        </w:rPr>
      </w:pPr>
      <w:bookmarkStart w:id="35" w:name="_Toc8719"/>
    </w:p>
    <w:p>
      <w:pPr>
        <w:pStyle w:val="3"/>
        <w:spacing w:before="213" w:line="276" w:lineRule="auto"/>
        <w:ind w:left="220" w:right="237" w:firstLine="480"/>
        <w:rPr>
          <w:rFonts w:ascii="微软雅黑" w:hAnsi="微软雅黑" w:eastAsia="微软雅黑" w:cs="微软雅黑"/>
          <w:spacing w:val="-7"/>
          <w:sz w:val="22"/>
        </w:rPr>
      </w:pPr>
      <w:r>
        <w:rPr>
          <w:rFonts w:hint="eastAsia" w:ascii="微软雅黑" w:hAnsi="微软雅黑" w:eastAsia="微软雅黑" w:cs="微软雅黑"/>
          <w:spacing w:val="-7"/>
          <w:sz w:val="22"/>
        </w:rPr>
        <w:t>分析公司各工段生产工艺流程、环境污染防治设施，对照《有毒有害大气污染物名录（2018 年）》的公告 （2019 年 第 4 号）、《有毒有害水污染物名录（第一批）》的公告（</w:t>
      </w:r>
      <w:r>
        <w:rPr>
          <w:rFonts w:ascii="微软雅黑" w:hAnsi="微软雅黑" w:eastAsia="微软雅黑" w:cs="微软雅黑"/>
          <w:spacing w:val="-7"/>
          <w:sz w:val="22"/>
        </w:rPr>
        <w:t xml:space="preserve">2019 </w:t>
      </w:r>
      <w:r>
        <w:rPr>
          <w:rFonts w:hint="eastAsia" w:ascii="微软雅黑" w:hAnsi="微软雅黑" w:eastAsia="微软雅黑" w:cs="微软雅黑"/>
          <w:spacing w:val="-7"/>
          <w:sz w:val="22"/>
        </w:rPr>
        <w:t xml:space="preserve">年 第 </w:t>
      </w:r>
      <w:r>
        <w:rPr>
          <w:rFonts w:ascii="微软雅黑" w:hAnsi="微软雅黑" w:eastAsia="微软雅黑" w:cs="微软雅黑"/>
          <w:spacing w:val="-7"/>
          <w:sz w:val="22"/>
        </w:rPr>
        <w:t xml:space="preserve">28 </w:t>
      </w:r>
      <w:r>
        <w:rPr>
          <w:rFonts w:hint="eastAsia" w:ascii="微软雅黑" w:hAnsi="微软雅黑" w:eastAsia="微软雅黑" w:cs="微软雅黑"/>
          <w:spacing w:val="-7"/>
          <w:sz w:val="22"/>
        </w:rPr>
        <w:t>号），共公司使用的原辅材料、污染物排放因子不涉及名录中有毒有害因子。</w:t>
      </w:r>
    </w:p>
    <w:p>
      <w:pPr>
        <w:pStyle w:val="6"/>
        <w:rPr>
          <w:szCs w:val="22"/>
        </w:rPr>
      </w:pPr>
    </w:p>
    <w:p>
      <w:pPr>
        <w:pStyle w:val="6"/>
        <w:rPr>
          <w:szCs w:val="22"/>
        </w:rPr>
      </w:pPr>
      <w:r>
        <w:rPr>
          <w:rFonts w:hint="eastAsia"/>
          <w:szCs w:val="22"/>
        </w:rPr>
        <w:t>4 自行监测方案及结果分析</w:t>
      </w:r>
      <w:bookmarkEnd w:id="35"/>
    </w:p>
    <w:p>
      <w:pPr>
        <w:pStyle w:val="7"/>
      </w:pPr>
      <w:bookmarkStart w:id="36" w:name="_Toc25510"/>
      <w:r>
        <w:rPr>
          <w:rFonts w:hint="eastAsia"/>
        </w:rPr>
        <w:t>4.1 自行监测方案</w:t>
      </w:r>
      <w:bookmarkEnd w:id="36"/>
    </w:p>
    <w:p>
      <w:pPr>
        <w:pStyle w:val="3"/>
        <w:spacing w:before="213" w:line="276" w:lineRule="auto"/>
        <w:ind w:left="220" w:right="237" w:firstLine="480"/>
        <w:rPr>
          <w:rFonts w:ascii="微软雅黑" w:hAnsi="微软雅黑" w:eastAsia="微软雅黑" w:cs="微软雅黑"/>
          <w:sz w:val="22"/>
        </w:rPr>
      </w:pPr>
      <w:r>
        <w:rPr>
          <w:rFonts w:hint="eastAsia" w:ascii="微软雅黑" w:hAnsi="微软雅黑" w:eastAsia="微软雅黑" w:cs="微软雅黑"/>
          <w:spacing w:val="-7"/>
          <w:sz w:val="22"/>
        </w:rPr>
        <w:t>根据《在产企业土壤及地下水自行监测技术指南》</w:t>
      </w:r>
      <w:r>
        <w:rPr>
          <w:rFonts w:hint="eastAsia" w:ascii="微软雅黑" w:hAnsi="微软雅黑" w:eastAsia="微软雅黑" w:cs="微软雅黑"/>
          <w:sz w:val="22"/>
        </w:rPr>
        <w:t>（征求意见稿</w:t>
      </w:r>
      <w:r>
        <w:rPr>
          <w:rFonts w:hint="eastAsia" w:ascii="微软雅黑" w:hAnsi="微软雅黑" w:eastAsia="微软雅黑" w:cs="微软雅黑"/>
          <w:spacing w:val="-20"/>
          <w:sz w:val="22"/>
        </w:rPr>
        <w:t>），</w:t>
      </w:r>
      <w:r>
        <w:rPr>
          <w:rFonts w:hint="eastAsia" w:ascii="微软雅黑" w:hAnsi="微软雅黑" w:eastAsia="微软雅黑" w:cs="微软雅黑"/>
          <w:spacing w:val="-5"/>
          <w:sz w:val="22"/>
        </w:rPr>
        <w:t>结合生</w:t>
      </w:r>
      <w:r>
        <w:rPr>
          <w:rFonts w:hint="eastAsia" w:ascii="微软雅黑" w:hAnsi="微软雅黑" w:eastAsia="微软雅黑" w:cs="微软雅黑"/>
          <w:sz w:val="22"/>
        </w:rPr>
        <w:t>产中所使用的原辅材料等，将本项目样品的分析因子初步设置如下：</w:t>
      </w:r>
    </w:p>
    <w:p>
      <w:pPr>
        <w:spacing w:line="276" w:lineRule="auto"/>
        <w:ind w:left="220"/>
        <w:jc w:val="left"/>
        <w:rPr>
          <w:rFonts w:ascii="微软雅黑" w:hAnsi="微软雅黑" w:eastAsia="微软雅黑" w:cs="微软雅黑"/>
          <w:sz w:val="22"/>
          <w:szCs w:val="22"/>
        </w:rPr>
      </w:pPr>
      <w:r>
        <w:rPr>
          <w:rFonts w:hint="eastAsia" w:ascii="微软雅黑" w:hAnsi="微软雅黑" w:eastAsia="微软雅黑" w:cs="微软雅黑"/>
          <w:b/>
          <w:sz w:val="22"/>
          <w:szCs w:val="22"/>
        </w:rPr>
        <w:t>A1 类-重金属 8 种：</w:t>
      </w:r>
      <w:r>
        <w:rPr>
          <w:rFonts w:hint="eastAsia" w:ascii="微软雅黑" w:hAnsi="微软雅黑" w:eastAsia="微软雅黑" w:cs="微软雅黑"/>
          <w:sz w:val="22"/>
          <w:szCs w:val="22"/>
        </w:rPr>
        <w:t>镉、铅、铬、铜、锌、镍、汞、砷；</w:t>
      </w:r>
    </w:p>
    <w:p>
      <w:pPr>
        <w:spacing w:before="213" w:line="276" w:lineRule="auto"/>
        <w:ind w:left="220"/>
        <w:jc w:val="left"/>
        <w:rPr>
          <w:rFonts w:ascii="微软雅黑" w:hAnsi="微软雅黑" w:eastAsia="微软雅黑" w:cs="微软雅黑"/>
          <w:sz w:val="22"/>
          <w:szCs w:val="22"/>
        </w:rPr>
      </w:pPr>
      <w:r>
        <w:rPr>
          <w:rFonts w:hint="eastAsia" w:ascii="微软雅黑" w:hAnsi="微软雅黑" w:eastAsia="微软雅黑" w:cs="微软雅黑"/>
          <w:b/>
          <w:sz w:val="22"/>
          <w:szCs w:val="22"/>
        </w:rPr>
        <w:t>A2 类-重金属与元素 8 种：</w:t>
      </w:r>
      <w:r>
        <w:rPr>
          <w:rFonts w:hint="eastAsia" w:ascii="微软雅黑" w:hAnsi="微软雅黑" w:eastAsia="微软雅黑" w:cs="微软雅黑"/>
          <w:sz w:val="22"/>
          <w:szCs w:val="22"/>
        </w:rPr>
        <w:t>锰、钴、硒、钒、锑、铊、铍、钼；</w:t>
      </w:r>
    </w:p>
    <w:p>
      <w:pPr>
        <w:spacing w:before="211" w:line="276" w:lineRule="auto"/>
        <w:ind w:left="220"/>
        <w:jc w:val="left"/>
        <w:rPr>
          <w:rFonts w:ascii="微软雅黑" w:hAnsi="微软雅黑" w:eastAsia="微软雅黑" w:cs="微软雅黑"/>
          <w:sz w:val="22"/>
          <w:szCs w:val="22"/>
        </w:rPr>
      </w:pPr>
      <w:r>
        <w:rPr>
          <w:rFonts w:hint="eastAsia" w:ascii="微软雅黑" w:hAnsi="微软雅黑" w:eastAsia="微软雅黑" w:cs="微软雅黑"/>
          <w:b/>
          <w:sz w:val="22"/>
          <w:szCs w:val="22"/>
        </w:rPr>
        <w:t>A3 类-无机物 2 种：</w:t>
      </w:r>
      <w:r>
        <w:rPr>
          <w:rFonts w:hint="eastAsia" w:ascii="微软雅黑" w:hAnsi="微软雅黑" w:eastAsia="微软雅黑" w:cs="微软雅黑"/>
          <w:sz w:val="22"/>
          <w:szCs w:val="22"/>
        </w:rPr>
        <w:t>氰化物、氟化物</w:t>
      </w:r>
    </w:p>
    <w:p>
      <w:pPr>
        <w:spacing w:before="213" w:line="276" w:lineRule="auto"/>
        <w:ind w:left="220"/>
        <w:jc w:val="left"/>
        <w:rPr>
          <w:rFonts w:ascii="微软雅黑" w:hAnsi="微软雅黑" w:eastAsia="微软雅黑" w:cs="微软雅黑"/>
          <w:sz w:val="22"/>
          <w:szCs w:val="22"/>
        </w:rPr>
      </w:pPr>
      <w:r>
        <w:rPr>
          <w:rFonts w:hint="eastAsia" w:ascii="微软雅黑" w:hAnsi="微软雅黑" w:eastAsia="微软雅黑" w:cs="微软雅黑"/>
          <w:b/>
          <w:sz w:val="22"/>
          <w:szCs w:val="22"/>
        </w:rPr>
        <w:t>C3 类：</w:t>
      </w:r>
      <w:r>
        <w:rPr>
          <w:rFonts w:hint="eastAsia" w:ascii="微软雅黑" w:hAnsi="微软雅黑" w:eastAsia="微软雅黑" w:cs="微软雅黑"/>
          <w:sz w:val="22"/>
          <w:szCs w:val="22"/>
        </w:rPr>
        <w:t>石油烃（C10~C40）</w:t>
      </w:r>
    </w:p>
    <w:p>
      <w:pPr>
        <w:spacing w:before="214" w:line="276" w:lineRule="auto"/>
        <w:ind w:left="220"/>
        <w:jc w:val="left"/>
        <w:rPr>
          <w:rFonts w:ascii="微软雅黑" w:hAnsi="微软雅黑" w:eastAsia="微软雅黑" w:cs="微软雅黑"/>
          <w:sz w:val="22"/>
          <w:szCs w:val="22"/>
        </w:rPr>
      </w:pPr>
      <w:r>
        <w:rPr>
          <w:rFonts w:hint="eastAsia" w:ascii="微软雅黑" w:hAnsi="微软雅黑" w:eastAsia="微软雅黑" w:cs="微软雅黑"/>
          <w:sz w:val="22"/>
          <w:szCs w:val="22"/>
        </w:rPr>
        <w:t>D</w:t>
      </w:r>
      <w:r>
        <w:rPr>
          <w:rFonts w:hint="eastAsia" w:ascii="微软雅黑" w:hAnsi="微软雅黑" w:eastAsia="微软雅黑" w:cs="微软雅黑"/>
          <w:b/>
          <w:sz w:val="22"/>
          <w:szCs w:val="22"/>
        </w:rPr>
        <w:t>1 类-土壤 pH：</w:t>
      </w:r>
      <w:r>
        <w:rPr>
          <w:rFonts w:hint="eastAsia" w:ascii="微软雅黑" w:hAnsi="微软雅黑" w:eastAsia="微软雅黑" w:cs="微软雅黑"/>
          <w:sz w:val="22"/>
          <w:szCs w:val="22"/>
        </w:rPr>
        <w:t>pH；</w:t>
      </w:r>
    </w:p>
    <w:p>
      <w:pPr>
        <w:pStyle w:val="3"/>
        <w:spacing w:before="211" w:line="276" w:lineRule="auto"/>
        <w:ind w:left="220" w:right="145"/>
        <w:rPr>
          <w:rFonts w:ascii="微软雅黑" w:hAnsi="微软雅黑" w:eastAsia="微软雅黑" w:cs="微软雅黑"/>
          <w:sz w:val="22"/>
        </w:rPr>
      </w:pPr>
      <w:r>
        <w:rPr>
          <w:rFonts w:hint="eastAsia" w:ascii="微软雅黑" w:hAnsi="微软雅黑" w:eastAsia="微软雅黑" w:cs="微软雅黑"/>
          <w:b/>
          <w:spacing w:val="1"/>
          <w:sz w:val="22"/>
        </w:rPr>
        <w:t>地下水样品：</w:t>
      </w:r>
      <w:r>
        <w:rPr>
          <w:rFonts w:hint="eastAsia" w:ascii="微软雅黑" w:hAnsi="微软雅黑" w:eastAsia="微软雅黑" w:cs="微软雅黑"/>
          <w:sz w:val="22"/>
        </w:rPr>
        <w:t>按照《地下水质量标准》（GB14848-2017）及主管部门要求，色度、嗅和味、肉眼可见物、浑浊度、pH、溶解性总固体、总硬度、硫酸盐、氯</w:t>
      </w:r>
      <w:r>
        <w:rPr>
          <w:rFonts w:hint="eastAsia" w:ascii="微软雅黑" w:hAnsi="微软雅黑" w:eastAsia="微软雅黑" w:cs="微软雅黑"/>
          <w:spacing w:val="-1"/>
          <w:sz w:val="22"/>
        </w:rPr>
        <w:t>化物、铁、锰、铜、锌、铝、挥发性酚类、阴离子表面活性剂、耗氧量、氨氮、</w:t>
      </w:r>
      <w:r>
        <w:rPr>
          <w:rFonts w:hint="eastAsia" w:ascii="微软雅黑" w:hAnsi="微软雅黑" w:eastAsia="微软雅黑" w:cs="微软雅黑"/>
          <w:spacing w:val="-11"/>
          <w:sz w:val="22"/>
        </w:rPr>
        <w:t>硫化物、钠、总大肠菌群、菌落总数、硝酸盐、亚硝酸盐、氰化物、氟化物、碘化物、汞、砷、硒、镉、六价铬、铅、三氯甲烷、四氯化碳、苯、甲苯、总α放射性、总β放射性；铍、硼、锑、钡、镍、钴、钼、银；</w:t>
      </w:r>
    </w:p>
    <w:p>
      <w:pPr>
        <w:pStyle w:val="7"/>
      </w:pPr>
      <w:bookmarkStart w:id="37" w:name="4.4_监测点及监测项目统计"/>
      <w:bookmarkEnd w:id="37"/>
      <w:bookmarkStart w:id="38" w:name="_Toc1404"/>
      <w:r>
        <w:rPr>
          <w:rFonts w:hint="eastAsia"/>
        </w:rPr>
        <w:t>4.2监测点及监测项目统计一览表</w:t>
      </w:r>
      <w:bookmarkEnd w:id="38"/>
    </w:p>
    <w:p>
      <w:pPr>
        <w:pStyle w:val="3"/>
        <w:spacing w:before="214" w:line="276" w:lineRule="auto"/>
        <w:ind w:left="700"/>
      </w:pPr>
      <w:r>
        <w:t>安阳</w:t>
      </w:r>
      <w:r>
        <w:rPr>
          <w:rFonts w:hint="eastAsia"/>
        </w:rPr>
        <w:t>中盈化肥</w:t>
      </w:r>
      <w:r>
        <w:t>有限公司</w:t>
      </w:r>
      <w:r>
        <w:rPr>
          <w:rFonts w:hint="eastAsia"/>
        </w:rPr>
        <w:t>地块</w:t>
      </w:r>
      <w:r>
        <w:t>各监测点</w:t>
      </w:r>
      <w:r>
        <w:rPr>
          <w:rFonts w:hint="eastAsia"/>
        </w:rPr>
        <w:t>位及监测项目如下：</w:t>
      </w:r>
    </w:p>
    <w:p>
      <w:pPr>
        <w:spacing w:before="35" w:after="3"/>
        <w:ind w:left="1520" w:right="1539"/>
        <w:jc w:val="center"/>
        <w:rPr>
          <w:rFonts w:ascii="黑体" w:eastAsia="黑体"/>
        </w:rPr>
      </w:pPr>
      <w:r>
        <w:rPr>
          <w:rFonts w:hint="eastAsia" w:ascii="黑体" w:eastAsia="黑体"/>
        </w:rPr>
        <w:t>安阳中盈化肥有限公司土壤检测点采样数量及监测项目</w:t>
      </w:r>
    </w:p>
    <w:tbl>
      <w:tblPr>
        <w:tblStyle w:val="20"/>
        <w:tblW w:w="85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6"/>
        <w:gridCol w:w="1173"/>
        <w:gridCol w:w="2372"/>
        <w:gridCol w:w="2099"/>
        <w:gridCol w:w="17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146" w:type="dxa"/>
            <w:vMerge w:val="restart"/>
          </w:tcPr>
          <w:p>
            <w:pPr>
              <w:pStyle w:val="61"/>
              <w:spacing w:before="143" w:line="242" w:lineRule="auto"/>
              <w:ind w:left="362" w:right="351"/>
              <w:jc w:val="left"/>
              <w:rPr>
                <w:b/>
              </w:rPr>
            </w:pPr>
            <w:r>
              <w:rPr>
                <w:b/>
              </w:rPr>
              <w:t>样品编号</w:t>
            </w:r>
          </w:p>
        </w:tc>
        <w:tc>
          <w:tcPr>
            <w:tcW w:w="1173" w:type="dxa"/>
            <w:vMerge w:val="restart"/>
          </w:tcPr>
          <w:p>
            <w:pPr>
              <w:pStyle w:val="61"/>
              <w:spacing w:before="143" w:line="242" w:lineRule="auto"/>
              <w:ind w:left="375" w:right="365"/>
              <w:jc w:val="left"/>
              <w:rPr>
                <w:b/>
              </w:rPr>
            </w:pPr>
            <w:r>
              <w:rPr>
                <w:b/>
              </w:rPr>
              <w:t>环境介质</w:t>
            </w:r>
          </w:p>
        </w:tc>
        <w:tc>
          <w:tcPr>
            <w:tcW w:w="2372" w:type="dxa"/>
            <w:vMerge w:val="restart"/>
          </w:tcPr>
          <w:p>
            <w:pPr>
              <w:pStyle w:val="61"/>
              <w:spacing w:before="8"/>
              <w:jc w:val="left"/>
              <w:rPr>
                <w:rFonts w:ascii="黑体"/>
              </w:rPr>
            </w:pPr>
          </w:p>
          <w:p>
            <w:pPr>
              <w:pStyle w:val="61"/>
              <w:ind w:left="764"/>
              <w:jc w:val="left"/>
              <w:rPr>
                <w:b/>
              </w:rPr>
            </w:pPr>
            <w:r>
              <w:rPr>
                <w:b/>
              </w:rPr>
              <w:t>监测项目</w:t>
            </w:r>
          </w:p>
        </w:tc>
        <w:tc>
          <w:tcPr>
            <w:tcW w:w="2099" w:type="dxa"/>
          </w:tcPr>
          <w:p>
            <w:pPr>
              <w:pStyle w:val="61"/>
              <w:spacing w:before="135"/>
              <w:ind w:left="310" w:right="298"/>
              <w:rPr>
                <w:b/>
              </w:rPr>
            </w:pPr>
            <w:r>
              <w:rPr>
                <w:b/>
              </w:rPr>
              <w:t>采样深度（</w:t>
            </w:r>
            <w:r>
              <w:rPr>
                <w:rFonts w:ascii="Times New Roman" w:eastAsia="Times New Roman"/>
                <w:b/>
              </w:rPr>
              <w:t>m</w:t>
            </w:r>
            <w:r>
              <w:rPr>
                <w:b/>
              </w:rPr>
              <w:t>）</w:t>
            </w:r>
          </w:p>
        </w:tc>
        <w:tc>
          <w:tcPr>
            <w:tcW w:w="1732" w:type="dxa"/>
          </w:tcPr>
          <w:p>
            <w:pPr>
              <w:pStyle w:val="61"/>
              <w:spacing w:before="1"/>
              <w:ind w:left="316" w:right="309"/>
              <w:rPr>
                <w:b/>
              </w:rPr>
            </w:pPr>
            <w:r>
              <w:rPr>
                <w:b/>
              </w:rPr>
              <w:t>样品</w:t>
            </w:r>
          </w:p>
          <w:p>
            <w:pPr>
              <w:pStyle w:val="61"/>
              <w:spacing w:before="2" w:line="253" w:lineRule="exact"/>
              <w:ind w:left="318" w:right="309"/>
              <w:rPr>
                <w:b/>
              </w:rPr>
            </w:pPr>
            <w:r>
              <w:rPr>
                <w:b/>
              </w:rPr>
              <w:t>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46" w:type="dxa"/>
            <w:vMerge w:val="continue"/>
            <w:tcBorders>
              <w:top w:val="nil"/>
            </w:tcBorders>
          </w:tcPr>
          <w:p>
            <w:pPr>
              <w:rPr>
                <w:sz w:val="2"/>
                <w:szCs w:val="2"/>
              </w:rPr>
            </w:pPr>
          </w:p>
        </w:tc>
        <w:tc>
          <w:tcPr>
            <w:tcW w:w="1173" w:type="dxa"/>
            <w:vMerge w:val="continue"/>
            <w:tcBorders>
              <w:top w:val="nil"/>
            </w:tcBorders>
          </w:tcPr>
          <w:p>
            <w:pPr>
              <w:rPr>
                <w:sz w:val="2"/>
                <w:szCs w:val="2"/>
              </w:rPr>
            </w:pPr>
          </w:p>
        </w:tc>
        <w:tc>
          <w:tcPr>
            <w:tcW w:w="2372" w:type="dxa"/>
            <w:vMerge w:val="continue"/>
            <w:tcBorders>
              <w:top w:val="nil"/>
            </w:tcBorders>
          </w:tcPr>
          <w:p>
            <w:pPr>
              <w:rPr>
                <w:sz w:val="2"/>
                <w:szCs w:val="2"/>
              </w:rPr>
            </w:pPr>
          </w:p>
        </w:tc>
        <w:tc>
          <w:tcPr>
            <w:tcW w:w="2099" w:type="dxa"/>
          </w:tcPr>
          <w:p>
            <w:pPr>
              <w:pStyle w:val="61"/>
              <w:spacing w:line="251" w:lineRule="exact"/>
              <w:ind w:left="310" w:right="298"/>
              <w:rPr>
                <w:b/>
              </w:rPr>
            </w:pPr>
            <w:r>
              <w:rPr>
                <w:b/>
              </w:rPr>
              <w:t>土壤样品</w:t>
            </w:r>
          </w:p>
        </w:tc>
        <w:tc>
          <w:tcPr>
            <w:tcW w:w="1732" w:type="dxa"/>
          </w:tcPr>
          <w:p>
            <w:pPr>
              <w:pStyle w:val="61"/>
              <w:spacing w:line="251" w:lineRule="exact"/>
              <w:ind w:left="318" w:right="306"/>
              <w:rPr>
                <w:b/>
              </w:rPr>
            </w:pPr>
            <w:r>
              <w:rPr>
                <w:b/>
              </w:rPr>
              <w:t>土壤样品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1 </w:t>
            </w:r>
            <w:r>
              <w:rPr>
                <w:sz w:val="18"/>
              </w:rPr>
              <w:t>背景点</w:t>
            </w:r>
          </w:p>
        </w:tc>
        <w:tc>
          <w:tcPr>
            <w:tcW w:w="1173" w:type="dxa"/>
          </w:tcPr>
          <w:p>
            <w:pPr>
              <w:pStyle w:val="61"/>
              <w:spacing w:before="78"/>
              <w:ind w:left="354" w:right="349"/>
            </w:pPr>
            <w:r>
              <w:t>土壤</w:t>
            </w:r>
          </w:p>
        </w:tc>
        <w:tc>
          <w:tcPr>
            <w:tcW w:w="2372" w:type="dxa"/>
            <w:vMerge w:val="restart"/>
          </w:tcPr>
          <w:p>
            <w:pPr>
              <w:pStyle w:val="61"/>
              <w:spacing w:before="2" w:line="364" w:lineRule="auto"/>
              <w:ind w:left="107" w:right="-15"/>
              <w:jc w:val="left"/>
            </w:pPr>
            <w:r>
              <w:rPr>
                <w:rFonts w:ascii="Times New Roman" w:eastAsia="Times New Roman"/>
                <w:b/>
              </w:rPr>
              <w:t xml:space="preserve">A1 </w:t>
            </w:r>
            <w:r>
              <w:rPr>
                <w:b/>
              </w:rPr>
              <w:t>类</w:t>
            </w:r>
            <w:r>
              <w:rPr>
                <w:rFonts w:ascii="Times New Roman" w:eastAsia="Times New Roman"/>
                <w:b/>
              </w:rPr>
              <w:t>-</w:t>
            </w:r>
            <w:r>
              <w:rPr>
                <w:b/>
                <w:spacing w:val="-13"/>
              </w:rPr>
              <w:t xml:space="preserve">重金属 </w:t>
            </w:r>
            <w:r>
              <w:rPr>
                <w:rFonts w:ascii="Times New Roman" w:eastAsia="Times New Roman"/>
                <w:b/>
              </w:rPr>
              <w:t xml:space="preserve">8 </w:t>
            </w:r>
            <w:r>
              <w:rPr>
                <w:b/>
                <w:spacing w:val="-5"/>
              </w:rPr>
              <w:t>种：</w:t>
            </w:r>
            <w:r>
              <w:rPr>
                <w:spacing w:val="-8"/>
              </w:rPr>
              <w:t>镉、</w:t>
            </w:r>
            <w:r>
              <w:rPr>
                <w:spacing w:val="6"/>
              </w:rPr>
              <w:t>铅、铬、铜、锌、镍、汞、砷；</w:t>
            </w:r>
          </w:p>
          <w:p>
            <w:pPr>
              <w:pStyle w:val="61"/>
              <w:spacing w:line="364" w:lineRule="auto"/>
              <w:ind w:left="107" w:right="89"/>
              <w:jc w:val="both"/>
            </w:pPr>
            <w:r>
              <w:rPr>
                <w:rFonts w:ascii="Times New Roman" w:eastAsia="Times New Roman"/>
                <w:b/>
              </w:rPr>
              <w:t xml:space="preserve">A2 </w:t>
            </w:r>
            <w:r>
              <w:rPr>
                <w:b/>
              </w:rPr>
              <w:t>类</w:t>
            </w:r>
            <w:r>
              <w:rPr>
                <w:rFonts w:ascii="Times New Roman" w:eastAsia="Times New Roman"/>
                <w:b/>
              </w:rPr>
              <w:t>-</w:t>
            </w:r>
            <w:r>
              <w:rPr>
                <w:b/>
              </w:rPr>
              <w:t xml:space="preserve">重金属与元素 </w:t>
            </w:r>
            <w:r>
              <w:rPr>
                <w:rFonts w:ascii="Times New Roman" w:eastAsia="Times New Roman"/>
                <w:b/>
              </w:rPr>
              <w:t xml:space="preserve">8 </w:t>
            </w:r>
            <w:r>
              <w:rPr>
                <w:b/>
              </w:rPr>
              <w:t>种：</w:t>
            </w:r>
            <w:r>
              <w:t>锰、钴、硒、钒、锑、铊、铍、钼；</w:t>
            </w:r>
          </w:p>
          <w:p>
            <w:pPr>
              <w:pStyle w:val="61"/>
              <w:spacing w:line="364" w:lineRule="auto"/>
              <w:ind w:left="107" w:right="90"/>
              <w:jc w:val="both"/>
            </w:pPr>
            <w:r>
              <w:rPr>
                <w:rFonts w:ascii="Times New Roman" w:eastAsia="Times New Roman"/>
                <w:b/>
              </w:rPr>
              <w:t xml:space="preserve">A3 </w:t>
            </w:r>
            <w:r>
              <w:rPr>
                <w:b/>
              </w:rPr>
              <w:t>类</w:t>
            </w:r>
            <w:r>
              <w:rPr>
                <w:rFonts w:ascii="Times New Roman" w:eastAsia="Times New Roman"/>
                <w:b/>
              </w:rPr>
              <w:t>-</w:t>
            </w:r>
            <w:r>
              <w:rPr>
                <w:b/>
              </w:rPr>
              <w:t xml:space="preserve">无机物 </w:t>
            </w:r>
            <w:r>
              <w:rPr>
                <w:rFonts w:ascii="Times New Roman" w:eastAsia="Times New Roman"/>
                <w:b/>
              </w:rPr>
              <w:t xml:space="preserve">2 </w:t>
            </w:r>
            <w:r>
              <w:rPr>
                <w:b/>
              </w:rPr>
              <w:t>种：</w:t>
            </w:r>
            <w:r>
              <w:t>氰化物、氟化物</w:t>
            </w:r>
          </w:p>
          <w:p>
            <w:pPr>
              <w:pStyle w:val="61"/>
              <w:spacing w:line="267" w:lineRule="exact"/>
              <w:ind w:left="107"/>
              <w:jc w:val="both"/>
            </w:pPr>
            <w:r>
              <w:rPr>
                <w:rFonts w:ascii="Times New Roman" w:eastAsia="Times New Roman"/>
                <w:b/>
              </w:rPr>
              <w:t xml:space="preserve">C3 </w:t>
            </w:r>
            <w:r>
              <w:rPr>
                <w:b/>
              </w:rPr>
              <w:t>类：</w:t>
            </w:r>
            <w:r>
              <w:t>石油烃</w:t>
            </w:r>
          </w:p>
          <w:p>
            <w:pPr>
              <w:pStyle w:val="61"/>
              <w:spacing w:before="135" w:line="254" w:lineRule="exact"/>
              <w:ind w:left="107"/>
              <w:jc w:val="both"/>
              <w:rPr>
                <w:rFonts w:ascii="Times New Roman" w:eastAsia="Times New Roman"/>
              </w:rPr>
            </w:pPr>
            <w:r>
              <w:rPr>
                <w:rFonts w:ascii="Times New Roman" w:eastAsia="Times New Roman"/>
              </w:rPr>
              <w:t>D</w:t>
            </w:r>
            <w:r>
              <w:rPr>
                <w:rFonts w:ascii="Times New Roman" w:eastAsia="Times New Roman"/>
                <w:b/>
              </w:rPr>
              <w:t xml:space="preserve">1 </w:t>
            </w:r>
            <w:r>
              <w:rPr>
                <w:b/>
              </w:rPr>
              <w:t>类</w:t>
            </w:r>
            <w:r>
              <w:rPr>
                <w:rFonts w:ascii="Times New Roman" w:eastAsia="Times New Roman"/>
                <w:b/>
              </w:rPr>
              <w:t>-</w:t>
            </w:r>
            <w:r>
              <w:rPr>
                <w:b/>
              </w:rPr>
              <w:t xml:space="preserve">土壤 </w:t>
            </w:r>
            <w:r>
              <w:rPr>
                <w:rFonts w:ascii="Times New Roman" w:eastAsia="Times New Roman"/>
                <w:b/>
              </w:rPr>
              <w:t>pH</w:t>
            </w:r>
            <w:r>
              <w:rPr>
                <w:b/>
              </w:rPr>
              <w:t>：</w:t>
            </w:r>
            <w:r>
              <w:rPr>
                <w:rFonts w:ascii="Times New Roman" w:eastAsia="Times New Roman"/>
              </w:rPr>
              <w:t>pH</w:t>
            </w: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2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3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4 </w:t>
            </w:r>
            <w:r>
              <w:rPr>
                <w:sz w:val="18"/>
              </w:rPr>
              <w:t>监测点</w:t>
            </w:r>
          </w:p>
        </w:tc>
        <w:tc>
          <w:tcPr>
            <w:tcW w:w="1173" w:type="dxa"/>
          </w:tcPr>
          <w:p>
            <w:pPr>
              <w:pStyle w:val="61"/>
              <w:spacing w:before="78"/>
              <w:ind w:left="354" w:right="349"/>
            </w:pPr>
            <w:r>
              <w:t>土壤</w:t>
            </w:r>
          </w:p>
        </w:tc>
        <w:tc>
          <w:tcPr>
            <w:tcW w:w="2372" w:type="dxa"/>
            <w:vMerge w:val="continue"/>
            <w:tcBorders>
              <w:top w:val="nil"/>
            </w:tcBorders>
          </w:tcPr>
          <w:p>
            <w:pPr>
              <w:rPr>
                <w:sz w:val="2"/>
                <w:szCs w:val="2"/>
              </w:rPr>
            </w:pP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5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6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7 </w:t>
            </w:r>
            <w:r>
              <w:rPr>
                <w:sz w:val="18"/>
              </w:rPr>
              <w:t>监测点</w:t>
            </w:r>
          </w:p>
        </w:tc>
        <w:tc>
          <w:tcPr>
            <w:tcW w:w="1173" w:type="dxa"/>
          </w:tcPr>
          <w:p>
            <w:pPr>
              <w:pStyle w:val="61"/>
              <w:spacing w:before="78"/>
              <w:ind w:left="354" w:right="349"/>
            </w:pPr>
            <w:r>
              <w:t>土壤</w:t>
            </w:r>
          </w:p>
        </w:tc>
        <w:tc>
          <w:tcPr>
            <w:tcW w:w="2372" w:type="dxa"/>
            <w:vMerge w:val="continue"/>
            <w:tcBorders>
              <w:top w:val="nil"/>
            </w:tcBorders>
          </w:tcPr>
          <w:p>
            <w:pPr>
              <w:rPr>
                <w:sz w:val="2"/>
                <w:szCs w:val="2"/>
              </w:rPr>
            </w:pPr>
          </w:p>
        </w:tc>
        <w:tc>
          <w:tcPr>
            <w:tcW w:w="2099" w:type="dxa"/>
          </w:tcPr>
          <w:p>
            <w:pPr>
              <w:pStyle w:val="61"/>
              <w:spacing w:before="95"/>
              <w:ind w:left="307" w:right="298"/>
              <w:rPr>
                <w:rFonts w:ascii="Times New Roman"/>
              </w:rPr>
            </w:pPr>
            <w:r>
              <w:rPr>
                <w:rFonts w:ascii="Times New Roman"/>
              </w:rPr>
              <w:t>0.2m</w:t>
            </w:r>
          </w:p>
        </w:tc>
        <w:tc>
          <w:tcPr>
            <w:tcW w:w="1732" w:type="dxa"/>
          </w:tcPr>
          <w:p>
            <w:pPr>
              <w:pStyle w:val="61"/>
              <w:spacing w:before="95"/>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100"/>
              <w:ind w:right="133"/>
              <w:jc w:val="right"/>
              <w:rPr>
                <w:sz w:val="18"/>
              </w:rPr>
            </w:pPr>
            <w:r>
              <w:rPr>
                <w:sz w:val="18"/>
              </w:rPr>
              <w:t>▉</w:t>
            </w:r>
            <w:r>
              <w:rPr>
                <w:rFonts w:ascii="Times New Roman" w:hAnsi="Times New Roman" w:eastAsia="Times New Roman"/>
                <w:sz w:val="18"/>
              </w:rPr>
              <w:t xml:space="preserve">8 </w:t>
            </w:r>
            <w:r>
              <w:rPr>
                <w:sz w:val="18"/>
              </w:rPr>
              <w:t>监测点</w:t>
            </w:r>
          </w:p>
        </w:tc>
        <w:tc>
          <w:tcPr>
            <w:tcW w:w="1173" w:type="dxa"/>
          </w:tcPr>
          <w:p>
            <w:pPr>
              <w:pStyle w:val="61"/>
              <w:spacing w:before="80"/>
              <w:ind w:left="354" w:right="349"/>
            </w:pPr>
            <w:r>
              <w:t>土壤</w:t>
            </w:r>
          </w:p>
        </w:tc>
        <w:tc>
          <w:tcPr>
            <w:tcW w:w="2372" w:type="dxa"/>
            <w:vMerge w:val="continue"/>
            <w:tcBorders>
              <w:top w:val="nil"/>
            </w:tcBorders>
          </w:tcPr>
          <w:p>
            <w:pPr>
              <w:rPr>
                <w:sz w:val="2"/>
                <w:szCs w:val="2"/>
              </w:rPr>
            </w:pPr>
          </w:p>
        </w:tc>
        <w:tc>
          <w:tcPr>
            <w:tcW w:w="2099" w:type="dxa"/>
          </w:tcPr>
          <w:p>
            <w:pPr>
              <w:pStyle w:val="61"/>
              <w:spacing w:before="94"/>
              <w:ind w:left="307" w:right="298"/>
              <w:rPr>
                <w:rFonts w:ascii="Times New Roman"/>
              </w:rPr>
            </w:pPr>
            <w:r>
              <w:rPr>
                <w:rFonts w:ascii="Times New Roman"/>
              </w:rPr>
              <w:t>0.2m</w:t>
            </w:r>
          </w:p>
        </w:tc>
        <w:tc>
          <w:tcPr>
            <w:tcW w:w="1732" w:type="dxa"/>
          </w:tcPr>
          <w:p>
            <w:pPr>
              <w:pStyle w:val="61"/>
              <w:spacing w:before="94"/>
              <w:ind w:left="8"/>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146" w:type="dxa"/>
          </w:tcPr>
          <w:p>
            <w:pPr>
              <w:pStyle w:val="61"/>
              <w:spacing w:before="99"/>
              <w:ind w:right="133"/>
              <w:jc w:val="right"/>
              <w:rPr>
                <w:sz w:val="18"/>
              </w:rPr>
            </w:pPr>
            <w:r>
              <w:rPr>
                <w:sz w:val="18"/>
              </w:rPr>
              <w:t>▉</w:t>
            </w:r>
            <w:r>
              <w:rPr>
                <w:rFonts w:ascii="Times New Roman" w:hAnsi="Times New Roman" w:eastAsia="Times New Roman"/>
                <w:sz w:val="18"/>
              </w:rPr>
              <w:t xml:space="preserve">9 </w:t>
            </w:r>
            <w:r>
              <w:rPr>
                <w:sz w:val="18"/>
              </w:rPr>
              <w:t>监测点</w:t>
            </w:r>
          </w:p>
        </w:tc>
        <w:tc>
          <w:tcPr>
            <w:tcW w:w="1173" w:type="dxa"/>
          </w:tcPr>
          <w:p>
            <w:pPr>
              <w:pStyle w:val="61"/>
              <w:spacing w:before="79"/>
              <w:ind w:left="354" w:right="349"/>
            </w:pPr>
            <w:r>
              <w:t>土壤</w:t>
            </w:r>
          </w:p>
        </w:tc>
        <w:tc>
          <w:tcPr>
            <w:tcW w:w="2372" w:type="dxa"/>
            <w:vMerge w:val="continue"/>
            <w:tcBorders>
              <w:top w:val="nil"/>
            </w:tcBorders>
          </w:tcPr>
          <w:p>
            <w:pPr>
              <w:rPr>
                <w:sz w:val="2"/>
                <w:szCs w:val="2"/>
              </w:rPr>
            </w:pPr>
          </w:p>
        </w:tc>
        <w:tc>
          <w:tcPr>
            <w:tcW w:w="2099" w:type="dxa"/>
          </w:tcPr>
          <w:p>
            <w:pPr>
              <w:pStyle w:val="61"/>
              <w:spacing w:before="93"/>
              <w:ind w:left="307" w:right="298"/>
              <w:rPr>
                <w:rFonts w:ascii="Times New Roman"/>
              </w:rPr>
            </w:pPr>
            <w:r>
              <w:rPr>
                <w:rFonts w:ascii="Times New Roman"/>
              </w:rPr>
              <w:t>0.2m</w:t>
            </w:r>
          </w:p>
        </w:tc>
        <w:tc>
          <w:tcPr>
            <w:tcW w:w="1732" w:type="dxa"/>
          </w:tcPr>
          <w:p>
            <w:pPr>
              <w:pStyle w:val="61"/>
              <w:spacing w:before="93"/>
              <w:ind w:left="8"/>
              <w:rPr>
                <w:rFonts w:ascii="Times New Roman"/>
              </w:rPr>
            </w:pPr>
            <w:r>
              <w:rPr>
                <w:rFonts w:ascii="Times New Roman"/>
                <w:w w:val="99"/>
              </w:rPr>
              <w:t>1</w:t>
            </w:r>
          </w:p>
        </w:tc>
      </w:tr>
    </w:tbl>
    <w:p>
      <w:pPr>
        <w:spacing w:before="66" w:after="3"/>
        <w:ind w:right="1537"/>
        <w:rPr>
          <w:rFonts w:ascii="黑体" w:eastAsia="黑体"/>
        </w:rPr>
      </w:pPr>
    </w:p>
    <w:p>
      <w:pPr>
        <w:pStyle w:val="2"/>
        <w:spacing w:after="0" w:line="360" w:lineRule="auto"/>
        <w:ind w:left="0" w:leftChars="0" w:right="0" w:rightChars="0"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地下水检测点采样数量及监测项目</w:t>
      </w:r>
    </w:p>
    <w:tbl>
      <w:tblPr>
        <w:tblStyle w:val="20"/>
        <w:tblW w:w="8520"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861"/>
        <w:gridCol w:w="3492"/>
        <w:gridCol w:w="1582"/>
        <w:gridCol w:w="1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115" w:type="dxa"/>
            <w:vMerge w:val="restart"/>
          </w:tcPr>
          <w:p>
            <w:pPr>
              <w:pStyle w:val="61"/>
              <w:spacing w:before="143" w:line="242" w:lineRule="auto"/>
              <w:ind w:left="347" w:right="335"/>
              <w:jc w:val="left"/>
              <w:rPr>
                <w:b/>
              </w:rPr>
            </w:pPr>
            <w:bookmarkStart w:id="39" w:name="_Toc27599"/>
            <w:r>
              <w:rPr>
                <w:b/>
              </w:rPr>
              <w:t>样品编号</w:t>
            </w:r>
          </w:p>
        </w:tc>
        <w:tc>
          <w:tcPr>
            <w:tcW w:w="861" w:type="dxa"/>
            <w:vMerge w:val="restart"/>
          </w:tcPr>
          <w:p>
            <w:pPr>
              <w:pStyle w:val="61"/>
              <w:spacing w:before="143" w:line="242" w:lineRule="auto"/>
              <w:ind w:left="219" w:right="209"/>
              <w:jc w:val="left"/>
              <w:rPr>
                <w:b/>
              </w:rPr>
            </w:pPr>
            <w:r>
              <w:rPr>
                <w:b/>
              </w:rPr>
              <w:t>环境介质</w:t>
            </w:r>
          </w:p>
        </w:tc>
        <w:tc>
          <w:tcPr>
            <w:tcW w:w="3492" w:type="dxa"/>
            <w:vMerge w:val="restart"/>
          </w:tcPr>
          <w:p>
            <w:pPr>
              <w:pStyle w:val="61"/>
              <w:spacing w:before="8"/>
              <w:jc w:val="left"/>
              <w:rPr>
                <w:rFonts w:ascii="黑体"/>
              </w:rPr>
            </w:pPr>
          </w:p>
          <w:p>
            <w:pPr>
              <w:pStyle w:val="61"/>
              <w:ind w:left="1305" w:right="1293"/>
              <w:rPr>
                <w:b/>
              </w:rPr>
            </w:pPr>
            <w:r>
              <w:rPr>
                <w:b/>
              </w:rPr>
              <w:t>监测项目</w:t>
            </w:r>
          </w:p>
        </w:tc>
        <w:tc>
          <w:tcPr>
            <w:tcW w:w="1582" w:type="dxa"/>
          </w:tcPr>
          <w:p>
            <w:pPr>
              <w:pStyle w:val="61"/>
              <w:spacing w:before="135"/>
              <w:ind w:left="56" w:right="44"/>
              <w:rPr>
                <w:b/>
              </w:rPr>
            </w:pPr>
            <w:r>
              <w:rPr>
                <w:b/>
              </w:rPr>
              <w:t>采样深度</w:t>
            </w:r>
          </w:p>
        </w:tc>
        <w:tc>
          <w:tcPr>
            <w:tcW w:w="1470" w:type="dxa"/>
          </w:tcPr>
          <w:p>
            <w:pPr>
              <w:pStyle w:val="61"/>
              <w:spacing w:before="1"/>
              <w:ind w:left="185" w:right="177"/>
              <w:rPr>
                <w:b/>
              </w:rPr>
            </w:pPr>
            <w:r>
              <w:rPr>
                <w:b/>
              </w:rPr>
              <w:t>样品</w:t>
            </w:r>
          </w:p>
          <w:p>
            <w:pPr>
              <w:pStyle w:val="61"/>
              <w:spacing w:before="2" w:line="253" w:lineRule="exact"/>
              <w:ind w:left="187" w:right="177"/>
              <w:rPr>
                <w:b/>
              </w:rPr>
            </w:pPr>
            <w:r>
              <w:rPr>
                <w:b/>
              </w:rPr>
              <w:t>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115" w:type="dxa"/>
            <w:vMerge w:val="continue"/>
            <w:tcBorders>
              <w:top w:val="nil"/>
            </w:tcBorders>
          </w:tcPr>
          <w:p>
            <w:pPr>
              <w:rPr>
                <w:sz w:val="2"/>
                <w:szCs w:val="2"/>
              </w:rPr>
            </w:pPr>
          </w:p>
        </w:tc>
        <w:tc>
          <w:tcPr>
            <w:tcW w:w="861" w:type="dxa"/>
            <w:vMerge w:val="continue"/>
            <w:tcBorders>
              <w:top w:val="nil"/>
            </w:tcBorders>
          </w:tcPr>
          <w:p>
            <w:pPr>
              <w:rPr>
                <w:sz w:val="2"/>
                <w:szCs w:val="2"/>
              </w:rPr>
            </w:pPr>
          </w:p>
        </w:tc>
        <w:tc>
          <w:tcPr>
            <w:tcW w:w="3492" w:type="dxa"/>
            <w:vMerge w:val="continue"/>
            <w:tcBorders>
              <w:top w:val="nil"/>
            </w:tcBorders>
          </w:tcPr>
          <w:p>
            <w:pPr>
              <w:rPr>
                <w:sz w:val="2"/>
                <w:szCs w:val="2"/>
              </w:rPr>
            </w:pPr>
          </w:p>
        </w:tc>
        <w:tc>
          <w:tcPr>
            <w:tcW w:w="1582" w:type="dxa"/>
          </w:tcPr>
          <w:p>
            <w:pPr>
              <w:pStyle w:val="61"/>
              <w:spacing w:line="251" w:lineRule="exact"/>
              <w:ind w:left="56" w:right="46"/>
              <w:rPr>
                <w:b/>
              </w:rPr>
            </w:pPr>
            <w:r>
              <w:rPr>
                <w:b/>
              </w:rPr>
              <w:t>地下水样品</w:t>
            </w:r>
          </w:p>
        </w:tc>
        <w:tc>
          <w:tcPr>
            <w:tcW w:w="1470" w:type="dxa"/>
          </w:tcPr>
          <w:p>
            <w:pPr>
              <w:pStyle w:val="61"/>
              <w:spacing w:line="251" w:lineRule="exact"/>
              <w:ind w:left="187" w:right="177"/>
              <w:rPr>
                <w:b/>
              </w:rPr>
            </w:pPr>
            <w:r>
              <w:rPr>
                <w:b/>
              </w:rPr>
              <w:t>地下水样品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5" w:hRule="atLeast"/>
        </w:trPr>
        <w:tc>
          <w:tcPr>
            <w:tcW w:w="1115" w:type="dxa"/>
          </w:tcPr>
          <w:p>
            <w:pPr>
              <w:pStyle w:val="61"/>
              <w:jc w:val="left"/>
              <w:rPr>
                <w:rFonts w:ascii="黑体"/>
                <w:sz w:val="22"/>
              </w:rPr>
            </w:pPr>
          </w:p>
          <w:p>
            <w:pPr>
              <w:pStyle w:val="61"/>
              <w:jc w:val="left"/>
              <w:rPr>
                <w:rFonts w:ascii="黑体"/>
                <w:sz w:val="22"/>
              </w:rPr>
            </w:pPr>
          </w:p>
          <w:p>
            <w:pPr>
              <w:pStyle w:val="61"/>
              <w:spacing w:before="10"/>
              <w:jc w:val="left"/>
              <w:rPr>
                <w:rFonts w:ascii="黑体"/>
                <w:sz w:val="19"/>
              </w:rPr>
            </w:pPr>
          </w:p>
          <w:p>
            <w:pPr>
              <w:pStyle w:val="61"/>
              <w:ind w:right="102"/>
              <w:jc w:val="right"/>
              <w:rPr>
                <w:sz w:val="18"/>
              </w:rPr>
            </w:pPr>
            <w:r>
              <w:t>☆</w:t>
            </w:r>
            <w:r>
              <w:rPr>
                <w:rFonts w:ascii="Times New Roman" w:hAnsi="Times New Roman" w:eastAsia="Times New Roman"/>
                <w:sz w:val="18"/>
              </w:rPr>
              <w:t xml:space="preserve">1 </w:t>
            </w:r>
            <w:r>
              <w:rPr>
                <w:sz w:val="18"/>
              </w:rPr>
              <w:t>监测点</w:t>
            </w:r>
          </w:p>
        </w:tc>
        <w:tc>
          <w:tcPr>
            <w:tcW w:w="861" w:type="dxa"/>
          </w:tcPr>
          <w:p>
            <w:pPr>
              <w:pStyle w:val="61"/>
              <w:jc w:val="left"/>
              <w:rPr>
                <w:rFonts w:ascii="黑体"/>
                <w:sz w:val="20"/>
              </w:rPr>
            </w:pPr>
          </w:p>
          <w:p>
            <w:pPr>
              <w:pStyle w:val="61"/>
              <w:jc w:val="left"/>
              <w:rPr>
                <w:rFonts w:ascii="黑体"/>
                <w:sz w:val="20"/>
              </w:rPr>
            </w:pPr>
          </w:p>
          <w:p>
            <w:pPr>
              <w:pStyle w:val="61"/>
              <w:spacing w:before="10"/>
              <w:jc w:val="left"/>
              <w:rPr>
                <w:rFonts w:ascii="黑体"/>
                <w:sz w:val="23"/>
              </w:rPr>
            </w:pPr>
          </w:p>
          <w:p>
            <w:pPr>
              <w:pStyle w:val="61"/>
              <w:ind w:left="198" w:right="193"/>
            </w:pPr>
            <w:r>
              <w:t>土壤</w:t>
            </w:r>
          </w:p>
        </w:tc>
        <w:tc>
          <w:tcPr>
            <w:tcW w:w="3492" w:type="dxa"/>
            <w:vMerge w:val="restart"/>
          </w:tcPr>
          <w:p>
            <w:pPr>
              <w:pStyle w:val="61"/>
              <w:spacing w:before="2" w:line="364" w:lineRule="auto"/>
              <w:ind w:left="106" w:right="-15"/>
              <w:jc w:val="left"/>
            </w:pPr>
            <w:r>
              <w:rPr>
                <w:spacing w:val="-15"/>
              </w:rPr>
              <w:t>色度、嗅和味、肉眼可见物、浑浊度、</w:t>
            </w:r>
            <w:r>
              <w:rPr>
                <w:rFonts w:ascii="Times New Roman" w:hAnsi="Times New Roman" w:eastAsia="Times New Roman"/>
                <w:spacing w:val="3"/>
              </w:rPr>
              <w:t>pH</w:t>
            </w:r>
            <w:r>
              <w:rPr>
                <w:spacing w:val="4"/>
              </w:rPr>
              <w:t>、溶解性总固体、总硬度、硫酸盐、氯化物、铁、锰、铜、锌、铝、</w:t>
            </w:r>
            <w:r>
              <w:rPr>
                <w:spacing w:val="-7"/>
              </w:rPr>
              <w:t>挥发性酚类、阴离子表面活性剂、耗</w:t>
            </w:r>
            <w:r>
              <w:rPr>
                <w:spacing w:val="-11"/>
              </w:rPr>
              <w:t>氧量、氨氮、硫化物、钠、总大肠菌群、菌落总数、硝酸盐、亚硝酸盐、氰化物、氟化物、碘化物、汞、砷、硒、镉、六价铬、铅、三氯甲烷、四</w:t>
            </w:r>
            <w:r>
              <w:rPr>
                <w:spacing w:val="-12"/>
              </w:rPr>
              <w:t>氯化碳、苯、甲苯、总</w:t>
            </w:r>
            <w:r>
              <w:rPr>
                <w:rFonts w:ascii="Times New Roman" w:hAnsi="Times New Roman" w:eastAsia="Times New Roman"/>
              </w:rPr>
              <w:t>α</w:t>
            </w:r>
            <w:r>
              <w:rPr>
                <w:spacing w:val="-5"/>
              </w:rPr>
              <w:t>放射性、总</w:t>
            </w:r>
            <w:r>
              <w:rPr>
                <w:rFonts w:ascii="Times New Roman" w:hAnsi="Times New Roman" w:eastAsia="Times New Roman"/>
              </w:rPr>
              <w:t xml:space="preserve">β </w:t>
            </w:r>
            <w:r>
              <w:t>放射性；铍、硼、锑、钡、镍、钴、</w:t>
            </w:r>
          </w:p>
          <w:p>
            <w:pPr>
              <w:pStyle w:val="61"/>
              <w:spacing w:line="264" w:lineRule="exact"/>
              <w:ind w:left="106"/>
              <w:jc w:val="left"/>
            </w:pPr>
            <w:r>
              <w:t>银、铊；</w:t>
            </w:r>
          </w:p>
        </w:tc>
        <w:tc>
          <w:tcPr>
            <w:tcW w:w="1582" w:type="dxa"/>
          </w:tcPr>
          <w:p>
            <w:pPr>
              <w:pStyle w:val="61"/>
              <w:jc w:val="left"/>
              <w:rPr>
                <w:rFonts w:ascii="黑体"/>
                <w:sz w:val="22"/>
              </w:rPr>
            </w:pPr>
          </w:p>
          <w:p>
            <w:pPr>
              <w:pStyle w:val="61"/>
              <w:jc w:val="left"/>
              <w:rPr>
                <w:rFonts w:ascii="黑体"/>
                <w:sz w:val="22"/>
              </w:rPr>
            </w:pPr>
          </w:p>
          <w:p>
            <w:pPr>
              <w:pStyle w:val="61"/>
              <w:spacing w:before="10"/>
              <w:jc w:val="left"/>
              <w:rPr>
                <w:rFonts w:ascii="黑体"/>
                <w:sz w:val="19"/>
              </w:rPr>
            </w:pPr>
          </w:p>
          <w:p>
            <w:pPr>
              <w:pStyle w:val="61"/>
              <w:ind w:left="56" w:right="51"/>
            </w:pPr>
            <w:r>
              <w:t xml:space="preserve">水面 </w:t>
            </w:r>
            <w:r>
              <w:rPr>
                <w:rFonts w:ascii="Times New Roman" w:eastAsia="Times New Roman"/>
              </w:rPr>
              <w:t xml:space="preserve">0.5m </w:t>
            </w:r>
            <w:r>
              <w:t>以下</w:t>
            </w:r>
          </w:p>
        </w:tc>
        <w:tc>
          <w:tcPr>
            <w:tcW w:w="1470" w:type="dxa"/>
          </w:tcPr>
          <w:p>
            <w:pPr>
              <w:pStyle w:val="61"/>
              <w:jc w:val="left"/>
              <w:rPr>
                <w:rFonts w:ascii="黑体"/>
                <w:sz w:val="22"/>
              </w:rPr>
            </w:pPr>
          </w:p>
          <w:p>
            <w:pPr>
              <w:pStyle w:val="61"/>
              <w:jc w:val="left"/>
              <w:rPr>
                <w:rFonts w:ascii="黑体"/>
                <w:sz w:val="22"/>
              </w:rPr>
            </w:pPr>
          </w:p>
          <w:p>
            <w:pPr>
              <w:pStyle w:val="61"/>
              <w:spacing w:before="11"/>
              <w:jc w:val="left"/>
              <w:rPr>
                <w:rFonts w:ascii="黑体"/>
                <w:sz w:val="20"/>
              </w:rPr>
            </w:pPr>
          </w:p>
          <w:p>
            <w:pPr>
              <w:pStyle w:val="61"/>
              <w:ind w:left="9"/>
              <w:rPr>
                <w:rFonts w:ascii="Times New Roman"/>
              </w:rPr>
            </w:pPr>
            <w:r>
              <w:rPr>
                <w:rFonts w:ascii="Times New Roman"/>
                <w:w w:val="9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9" w:hRule="atLeast"/>
        </w:trPr>
        <w:tc>
          <w:tcPr>
            <w:tcW w:w="1115"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jc w:val="left"/>
              <w:rPr>
                <w:rFonts w:ascii="黑体"/>
                <w:sz w:val="24"/>
              </w:rPr>
            </w:pPr>
          </w:p>
          <w:p>
            <w:pPr>
              <w:pStyle w:val="61"/>
              <w:spacing w:before="1"/>
              <w:ind w:right="102"/>
              <w:jc w:val="right"/>
              <w:rPr>
                <w:sz w:val="18"/>
              </w:rPr>
            </w:pPr>
            <w:r>
              <w:t>☆</w:t>
            </w:r>
            <w:r>
              <w:rPr>
                <w:rFonts w:ascii="Times New Roman" w:hAnsi="Times New Roman" w:eastAsia="Times New Roman"/>
                <w:sz w:val="18"/>
              </w:rPr>
              <w:t xml:space="preserve">2 </w:t>
            </w:r>
            <w:r>
              <w:rPr>
                <w:sz w:val="18"/>
              </w:rPr>
              <w:t>监测点</w:t>
            </w:r>
          </w:p>
        </w:tc>
        <w:tc>
          <w:tcPr>
            <w:tcW w:w="861" w:type="dxa"/>
          </w:tcPr>
          <w:p>
            <w:pPr>
              <w:pStyle w:val="61"/>
              <w:jc w:val="left"/>
              <w:rPr>
                <w:rFonts w:ascii="黑体"/>
                <w:sz w:val="20"/>
              </w:rPr>
            </w:pPr>
          </w:p>
          <w:p>
            <w:pPr>
              <w:pStyle w:val="61"/>
              <w:jc w:val="left"/>
              <w:rPr>
                <w:rFonts w:ascii="黑体"/>
                <w:sz w:val="20"/>
              </w:rPr>
            </w:pPr>
          </w:p>
          <w:p>
            <w:pPr>
              <w:pStyle w:val="61"/>
              <w:jc w:val="left"/>
              <w:rPr>
                <w:rFonts w:ascii="黑体"/>
                <w:sz w:val="20"/>
              </w:rPr>
            </w:pPr>
          </w:p>
          <w:p>
            <w:pPr>
              <w:pStyle w:val="61"/>
              <w:jc w:val="left"/>
              <w:rPr>
                <w:rFonts w:ascii="黑体"/>
                <w:sz w:val="20"/>
              </w:rPr>
            </w:pPr>
          </w:p>
          <w:p>
            <w:pPr>
              <w:pStyle w:val="61"/>
              <w:spacing w:before="129"/>
              <w:ind w:left="198" w:right="193"/>
            </w:pPr>
            <w:r>
              <w:t>土壤</w:t>
            </w:r>
          </w:p>
        </w:tc>
        <w:tc>
          <w:tcPr>
            <w:tcW w:w="3492" w:type="dxa"/>
            <w:vMerge w:val="continue"/>
            <w:tcBorders>
              <w:top w:val="nil"/>
            </w:tcBorders>
          </w:tcPr>
          <w:p>
            <w:pPr>
              <w:rPr>
                <w:sz w:val="2"/>
                <w:szCs w:val="2"/>
              </w:rPr>
            </w:pPr>
          </w:p>
        </w:tc>
        <w:tc>
          <w:tcPr>
            <w:tcW w:w="1582"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jc w:val="left"/>
              <w:rPr>
                <w:rFonts w:ascii="黑体"/>
                <w:sz w:val="24"/>
              </w:rPr>
            </w:pPr>
          </w:p>
          <w:p>
            <w:pPr>
              <w:pStyle w:val="61"/>
              <w:spacing w:before="1"/>
              <w:ind w:left="56" w:right="51"/>
            </w:pPr>
            <w:r>
              <w:t xml:space="preserve">水面 </w:t>
            </w:r>
            <w:r>
              <w:rPr>
                <w:rFonts w:ascii="Times New Roman" w:eastAsia="Times New Roman"/>
              </w:rPr>
              <w:t xml:space="preserve">0.5m </w:t>
            </w:r>
            <w:r>
              <w:t>以下</w:t>
            </w:r>
          </w:p>
        </w:tc>
        <w:tc>
          <w:tcPr>
            <w:tcW w:w="1470" w:type="dxa"/>
          </w:tcPr>
          <w:p>
            <w:pPr>
              <w:pStyle w:val="61"/>
              <w:jc w:val="left"/>
              <w:rPr>
                <w:rFonts w:ascii="黑体"/>
                <w:sz w:val="22"/>
              </w:rPr>
            </w:pPr>
          </w:p>
          <w:p>
            <w:pPr>
              <w:pStyle w:val="61"/>
              <w:jc w:val="left"/>
              <w:rPr>
                <w:rFonts w:ascii="黑体"/>
                <w:sz w:val="22"/>
              </w:rPr>
            </w:pPr>
          </w:p>
          <w:p>
            <w:pPr>
              <w:pStyle w:val="61"/>
              <w:jc w:val="left"/>
              <w:rPr>
                <w:rFonts w:ascii="黑体"/>
                <w:sz w:val="22"/>
              </w:rPr>
            </w:pPr>
          </w:p>
          <w:p>
            <w:pPr>
              <w:pStyle w:val="61"/>
              <w:spacing w:before="2"/>
              <w:jc w:val="left"/>
              <w:rPr>
                <w:rFonts w:ascii="黑体"/>
                <w:sz w:val="25"/>
              </w:rPr>
            </w:pPr>
          </w:p>
          <w:p>
            <w:pPr>
              <w:pStyle w:val="61"/>
              <w:ind w:left="9"/>
              <w:rPr>
                <w:rFonts w:ascii="Times New Roman"/>
              </w:rPr>
            </w:pPr>
            <w:r>
              <w:rPr>
                <w:rFonts w:ascii="Times New Roman"/>
                <w:w w:val="99"/>
              </w:rPr>
              <w:t>1</w:t>
            </w:r>
          </w:p>
        </w:tc>
      </w:tr>
    </w:tbl>
    <w:p>
      <w:pPr>
        <w:pStyle w:val="7"/>
      </w:pPr>
    </w:p>
    <w:p>
      <w:pPr>
        <w:pStyle w:val="7"/>
      </w:pPr>
      <w:bookmarkStart w:id="40" w:name="_Toc6870"/>
      <w:r>
        <w:rPr>
          <w:rFonts w:hint="eastAsia"/>
        </w:rPr>
        <w:t>4.3监测方法</w:t>
      </w:r>
      <w:bookmarkEnd w:id="39"/>
      <w:bookmarkEnd w:id="40"/>
    </w:p>
    <w:p>
      <w:pPr>
        <w:pStyle w:val="2"/>
        <w:spacing w:after="0" w:line="360" w:lineRule="auto"/>
        <w:ind w:left="0" w:leftChars="0" w:right="0" w:rightChars="0" w:firstLine="440" w:firstLineChars="200"/>
        <w:rPr>
          <w:rFonts w:ascii="微软雅黑" w:hAnsi="微软雅黑" w:eastAsia="微软雅黑" w:cs="微软雅黑"/>
          <w:sz w:val="22"/>
          <w:szCs w:val="22"/>
        </w:rPr>
      </w:pPr>
      <w:r>
        <w:rPr>
          <w:rFonts w:ascii="微软雅黑" w:hAnsi="微软雅黑" w:eastAsia="微软雅黑" w:cs="微软雅黑"/>
          <w:sz w:val="22"/>
          <w:szCs w:val="22"/>
        </w:rPr>
        <w:t>按照《土壤环境监测技术规范》（HJ/T166-2014）、《场地环境监测技术导则》（25.2-2014）、《土壤环境质量 建设用地土壤污染风险管控标准（试行）》（GB36600-2018）中所列的方法进行样品相应监测项目的检测。</w:t>
      </w:r>
    </w:p>
    <w:p>
      <w:pPr>
        <w:pStyle w:val="2"/>
        <w:spacing w:after="0" w:line="360" w:lineRule="auto"/>
        <w:ind w:left="0" w:leftChars="0" w:right="0" w:rightChars="0" w:firstLine="440" w:firstLineChars="200"/>
        <w:rPr>
          <w:rFonts w:ascii="微软雅黑" w:hAnsi="微软雅黑" w:eastAsia="微软雅黑" w:cs="微软雅黑"/>
          <w:sz w:val="22"/>
          <w:szCs w:val="22"/>
        </w:rPr>
      </w:pPr>
      <w:r>
        <w:rPr>
          <w:rFonts w:ascii="微软雅黑" w:hAnsi="微软雅黑" w:eastAsia="微软雅黑" w:cs="微软雅黑"/>
          <w:sz w:val="22"/>
          <w:szCs w:val="22"/>
        </w:rPr>
        <w:t>对不同类型的样品及污染物均采用相应的国家标准分析方法进行检测。对检测出异常的数据进行复测，以确保监测数据的准确性</w:t>
      </w:r>
      <w:r>
        <w:rPr>
          <w:rFonts w:hint="eastAsia" w:ascii="微软雅黑" w:hAnsi="微软雅黑" w:eastAsia="微软雅黑" w:cs="微软雅黑"/>
          <w:sz w:val="22"/>
          <w:szCs w:val="22"/>
        </w:rPr>
        <w:t>。</w:t>
      </w:r>
    </w:p>
    <w:p>
      <w:pPr>
        <w:pStyle w:val="7"/>
      </w:pPr>
      <w:bookmarkStart w:id="41" w:name="_Toc29891"/>
      <w:bookmarkStart w:id="42" w:name="_Toc7716"/>
      <w:r>
        <w:rPr>
          <w:rFonts w:hint="eastAsia"/>
        </w:rPr>
        <w:t>4.4 监测结果分析</w:t>
      </w:r>
      <w:bookmarkEnd w:id="41"/>
      <w:bookmarkEnd w:id="42"/>
    </w:p>
    <w:p/>
    <w:p>
      <w:pPr>
        <w:pStyle w:val="2"/>
        <w:spacing w:after="0" w:line="360" w:lineRule="auto"/>
        <w:ind w:left="0" w:leftChars="0" w:right="0" w:rightChars="0" w:firstLine="440" w:firstLineChars="200"/>
        <w:rPr>
          <w:rFonts w:ascii="微软雅黑" w:hAnsi="微软雅黑" w:eastAsia="微软雅黑" w:cs="微软雅黑"/>
          <w:sz w:val="22"/>
          <w:szCs w:val="22"/>
        </w:rPr>
      </w:pPr>
      <w:r>
        <w:rPr>
          <w:rFonts w:hint="eastAsia" w:ascii="微软雅黑" w:hAnsi="微软雅黑" w:eastAsia="微软雅黑" w:cs="微软雅黑"/>
          <w:sz w:val="22"/>
          <w:szCs w:val="22"/>
        </w:rPr>
        <w:t>202</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年</w:t>
      </w: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月</w:t>
      </w:r>
      <w:r>
        <w:rPr>
          <w:rFonts w:hint="eastAsia" w:ascii="微软雅黑" w:hAnsi="微软雅黑" w:eastAsia="微软雅黑" w:cs="微软雅黑"/>
          <w:sz w:val="22"/>
          <w:szCs w:val="22"/>
          <w:lang w:val="en-US" w:eastAsia="zh-CN"/>
        </w:rPr>
        <w:t>10</w:t>
      </w:r>
      <w:r>
        <w:rPr>
          <w:rFonts w:hint="eastAsia" w:ascii="微软雅黑" w:hAnsi="微软雅黑" w:eastAsia="微软雅黑" w:cs="微软雅黑"/>
          <w:sz w:val="22"/>
          <w:szCs w:val="22"/>
        </w:rPr>
        <w:t>日-</w:t>
      </w: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月</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日，安阳中盈化肥有限公司委托</w:t>
      </w:r>
      <w:r>
        <w:rPr>
          <w:rFonts w:hint="eastAsia" w:ascii="微软雅黑" w:hAnsi="微软雅黑" w:eastAsia="微软雅黑" w:cs="微软雅黑"/>
          <w:sz w:val="22"/>
          <w:szCs w:val="22"/>
          <w:lang w:val="en-US" w:eastAsia="zh-CN"/>
        </w:rPr>
        <w:t>河南</w:t>
      </w:r>
      <w:r>
        <w:rPr>
          <w:rFonts w:hint="eastAsia" w:ascii="微软雅黑" w:hAnsi="微软雅黑" w:eastAsia="微软雅黑" w:cs="微软雅黑"/>
          <w:sz w:val="22"/>
          <w:szCs w:val="22"/>
        </w:rPr>
        <w:t>跃华检测有限公司对土壤及地下水进行现场采样。根据土壤自行监测报告，本次监测土壤含量未超过《土壤环境质量建设用地土壤污染风险管控标准 （试行）》（GB 36600-2018）表1和表2筛选值第二类用地限值。具体结果监测报告。</w:t>
      </w:r>
    </w:p>
    <w:p>
      <w:pPr>
        <w:pStyle w:val="2"/>
        <w:ind w:left="1470" w:right="1470"/>
        <w:jc w:val="left"/>
      </w:pPr>
    </w:p>
    <w:p>
      <w:pPr>
        <w:pStyle w:val="3"/>
        <w:sectPr>
          <w:headerReference r:id="rId4" w:type="default"/>
          <w:footerReference r:id="rId5" w:type="default"/>
          <w:pgSz w:w="11910" w:h="16840"/>
          <w:pgMar w:top="1360" w:right="1560" w:bottom="1040" w:left="1580" w:header="853" w:footer="849" w:gutter="0"/>
          <w:pgNumType w:start="1"/>
          <w:cols w:space="720" w:num="1"/>
        </w:sectPr>
      </w:pPr>
    </w:p>
    <w:p>
      <w:pPr>
        <w:pStyle w:val="4"/>
        <w:spacing w:before="0" w:after="0" w:line="360" w:lineRule="auto"/>
        <w:rPr>
          <w:rFonts w:hint="eastAsia" w:eastAsia="宋体"/>
          <w:sz w:val="24"/>
          <w:szCs w:val="24"/>
          <w:lang w:eastAsia="zh-CN"/>
        </w:rPr>
      </w:pPr>
      <w:r>
        <w:rPr>
          <w:rFonts w:hint="eastAsia" w:eastAsia="宋体"/>
          <w:sz w:val="24"/>
          <w:szCs w:val="24"/>
          <w:lang w:eastAsia="zh-CN"/>
        </w:rPr>
        <w:drawing>
          <wp:inline distT="0" distB="0" distL="114300" distR="114300">
            <wp:extent cx="6000750" cy="8334375"/>
            <wp:effectExtent l="0" t="0" r="0" b="9525"/>
            <wp:docPr id="11" name="图片 11" descr="16757507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5750758736"/>
                    <pic:cNvPicPr>
                      <a:picLocks noChangeAspect="1"/>
                    </pic:cNvPicPr>
                  </pic:nvPicPr>
                  <pic:blipFill>
                    <a:blip r:embed="rId14"/>
                    <a:stretch>
                      <a:fillRect/>
                    </a:stretch>
                  </pic:blipFill>
                  <pic:spPr>
                    <a:xfrm>
                      <a:off x="0" y="0"/>
                      <a:ext cx="6000750" cy="8334375"/>
                    </a:xfrm>
                    <a:prstGeom prst="rect">
                      <a:avLst/>
                    </a:prstGeom>
                  </pic:spPr>
                </pic:pic>
              </a:graphicData>
            </a:graphic>
          </wp:inline>
        </w:drawing>
      </w:r>
    </w:p>
    <w:p>
      <w:pPr>
        <w:pStyle w:val="4"/>
        <w:rPr>
          <w:rFonts w:hint="eastAsia" w:eastAsia="宋体"/>
          <w:sz w:val="24"/>
          <w:szCs w:val="24"/>
          <w:lang w:eastAsia="zh-CN"/>
        </w:rPr>
      </w:pPr>
      <w:r>
        <w:rPr>
          <w:rFonts w:hint="eastAsia" w:eastAsia="宋体"/>
          <w:sz w:val="24"/>
          <w:szCs w:val="24"/>
          <w:lang w:eastAsia="zh-CN"/>
        </w:rPr>
        <w:drawing>
          <wp:inline distT="0" distB="0" distL="114300" distR="114300">
            <wp:extent cx="6096000" cy="8362950"/>
            <wp:effectExtent l="0" t="0" r="0" b="0"/>
            <wp:docPr id="3" name="图片 3" descr="167575051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5750515533"/>
                    <pic:cNvPicPr>
                      <a:picLocks noChangeAspect="1"/>
                    </pic:cNvPicPr>
                  </pic:nvPicPr>
                  <pic:blipFill>
                    <a:blip r:embed="rId15"/>
                    <a:stretch>
                      <a:fillRect/>
                    </a:stretch>
                  </pic:blipFill>
                  <pic:spPr>
                    <a:xfrm>
                      <a:off x="0" y="0"/>
                      <a:ext cx="6096000" cy="8362950"/>
                    </a:xfrm>
                    <a:prstGeom prst="rect">
                      <a:avLst/>
                    </a:prstGeom>
                  </pic:spPr>
                </pic:pic>
              </a:graphicData>
            </a:graphic>
          </wp:inline>
        </w:drawing>
      </w:r>
    </w:p>
    <w:p>
      <w:pPr>
        <w:pStyle w:val="5"/>
        <w:rPr>
          <w:rFonts w:hint="eastAsia" w:eastAsia="宋体"/>
          <w:sz w:val="24"/>
          <w:szCs w:val="24"/>
          <w:lang w:eastAsia="zh-CN"/>
        </w:rPr>
      </w:pPr>
      <w:r>
        <w:rPr>
          <w:rFonts w:hint="eastAsia" w:eastAsia="宋体"/>
          <w:sz w:val="24"/>
          <w:szCs w:val="24"/>
          <w:lang w:eastAsia="zh-CN"/>
        </w:rPr>
        <w:drawing>
          <wp:inline distT="0" distB="0" distL="114300" distR="114300">
            <wp:extent cx="6105525" cy="8343900"/>
            <wp:effectExtent l="0" t="0" r="9525" b="0"/>
            <wp:docPr id="13" name="图片 13" descr="167575079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5750798883"/>
                    <pic:cNvPicPr>
                      <a:picLocks noChangeAspect="1"/>
                    </pic:cNvPicPr>
                  </pic:nvPicPr>
                  <pic:blipFill>
                    <a:blip r:embed="rId16"/>
                    <a:stretch>
                      <a:fillRect/>
                    </a:stretch>
                  </pic:blipFill>
                  <pic:spPr>
                    <a:xfrm>
                      <a:off x="0" y="0"/>
                      <a:ext cx="6105525" cy="8343900"/>
                    </a:xfrm>
                    <a:prstGeom prst="rect">
                      <a:avLst/>
                    </a:prstGeom>
                  </pic:spPr>
                </pic:pic>
              </a:graphicData>
            </a:graphic>
          </wp:inline>
        </w:drawing>
      </w:r>
    </w:p>
    <w:p>
      <w:pPr>
        <w:rPr>
          <w:rFonts w:hint="eastAsia" w:eastAsia="宋体"/>
          <w:sz w:val="24"/>
          <w:szCs w:val="24"/>
          <w:lang w:eastAsia="zh-CN"/>
        </w:rPr>
      </w:pPr>
      <w:r>
        <w:rPr>
          <w:rFonts w:hint="eastAsia" w:eastAsia="宋体"/>
          <w:sz w:val="24"/>
          <w:szCs w:val="24"/>
          <w:lang w:eastAsia="zh-CN"/>
        </w:rPr>
        <w:drawing>
          <wp:inline distT="0" distB="0" distL="114300" distR="114300">
            <wp:extent cx="6323965" cy="8171815"/>
            <wp:effectExtent l="0" t="0" r="635" b="635"/>
            <wp:docPr id="14" name="图片 14" descr="167575083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5750832069"/>
                    <pic:cNvPicPr>
                      <a:picLocks noChangeAspect="1"/>
                    </pic:cNvPicPr>
                  </pic:nvPicPr>
                  <pic:blipFill>
                    <a:blip r:embed="rId17"/>
                    <a:stretch>
                      <a:fillRect/>
                    </a:stretch>
                  </pic:blipFill>
                  <pic:spPr>
                    <a:xfrm>
                      <a:off x="0" y="0"/>
                      <a:ext cx="6323965" cy="8171815"/>
                    </a:xfrm>
                    <a:prstGeom prst="rect">
                      <a:avLst/>
                    </a:prstGeom>
                  </pic:spPr>
                </pic:pic>
              </a:graphicData>
            </a:graphic>
          </wp:inline>
        </w:drawing>
      </w:r>
    </w:p>
    <w:p>
      <w:pPr>
        <w:pStyle w:val="2"/>
        <w:ind w:left="0" w:leftChars="0" w:right="1470"/>
        <w:rPr>
          <w:rFonts w:hint="eastAsia" w:eastAsia="宋体"/>
          <w:sz w:val="24"/>
          <w:szCs w:val="24"/>
          <w:lang w:eastAsia="zh-CN"/>
        </w:rPr>
      </w:pPr>
      <w:r>
        <w:rPr>
          <w:rFonts w:hint="eastAsia" w:eastAsia="宋体"/>
          <w:sz w:val="24"/>
          <w:szCs w:val="24"/>
          <w:lang w:eastAsia="zh-CN"/>
        </w:rPr>
        <w:drawing>
          <wp:inline distT="0" distB="0" distL="114300" distR="114300">
            <wp:extent cx="6066790" cy="8543925"/>
            <wp:effectExtent l="0" t="0" r="10160" b="9525"/>
            <wp:docPr id="15" name="图片 15" descr="16757508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5750866505"/>
                    <pic:cNvPicPr>
                      <a:picLocks noChangeAspect="1"/>
                    </pic:cNvPicPr>
                  </pic:nvPicPr>
                  <pic:blipFill>
                    <a:blip r:embed="rId18"/>
                    <a:stretch>
                      <a:fillRect/>
                    </a:stretch>
                  </pic:blipFill>
                  <pic:spPr>
                    <a:xfrm>
                      <a:off x="0" y="0"/>
                      <a:ext cx="6066790" cy="8543925"/>
                    </a:xfrm>
                    <a:prstGeom prst="rect">
                      <a:avLst/>
                    </a:prstGeom>
                  </pic:spPr>
                </pic:pic>
              </a:graphicData>
            </a:graphic>
          </wp:inline>
        </w:drawing>
      </w:r>
    </w:p>
    <w:p>
      <w:pPr>
        <w:pStyle w:val="3"/>
        <w:rPr>
          <w:rFonts w:hint="eastAsia" w:eastAsia="宋体"/>
          <w:sz w:val="24"/>
          <w:szCs w:val="24"/>
          <w:lang w:eastAsia="zh-CN"/>
        </w:rPr>
      </w:pPr>
      <w:r>
        <w:rPr>
          <w:rFonts w:hint="eastAsia" w:eastAsia="宋体"/>
          <w:sz w:val="24"/>
          <w:szCs w:val="24"/>
          <w:lang w:eastAsia="zh-CN"/>
        </w:rPr>
        <w:drawing>
          <wp:inline distT="0" distB="0" distL="114300" distR="114300">
            <wp:extent cx="6438265" cy="9200515"/>
            <wp:effectExtent l="0" t="0" r="635" b="635"/>
            <wp:docPr id="16" name="图片 16" descr="167575090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5750909986"/>
                    <pic:cNvPicPr>
                      <a:picLocks noChangeAspect="1"/>
                    </pic:cNvPicPr>
                  </pic:nvPicPr>
                  <pic:blipFill>
                    <a:blip r:embed="rId19"/>
                    <a:stretch>
                      <a:fillRect/>
                    </a:stretch>
                  </pic:blipFill>
                  <pic:spPr>
                    <a:xfrm>
                      <a:off x="0" y="0"/>
                      <a:ext cx="6438265" cy="9200515"/>
                    </a:xfrm>
                    <a:prstGeom prst="rect">
                      <a:avLst/>
                    </a:prstGeom>
                  </pic:spPr>
                </pic:pic>
              </a:graphicData>
            </a:graphic>
          </wp:inline>
        </w:drawing>
      </w:r>
    </w:p>
    <w:p>
      <w:pPr>
        <w:pStyle w:val="4"/>
        <w:rPr>
          <w:rFonts w:hint="eastAsia" w:eastAsia="宋体"/>
          <w:sz w:val="24"/>
          <w:szCs w:val="24"/>
          <w:lang w:eastAsia="zh-CN"/>
        </w:rPr>
      </w:pPr>
      <w:r>
        <w:rPr>
          <w:rFonts w:hint="eastAsia" w:eastAsia="宋体"/>
          <w:sz w:val="24"/>
          <w:szCs w:val="24"/>
          <w:lang w:eastAsia="zh-CN"/>
        </w:rPr>
        <w:drawing>
          <wp:inline distT="0" distB="0" distL="114300" distR="114300">
            <wp:extent cx="5953125" cy="7743825"/>
            <wp:effectExtent l="0" t="0" r="9525" b="9525"/>
            <wp:docPr id="17" name="图片 17" descr="167575094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5750946257"/>
                    <pic:cNvPicPr>
                      <a:picLocks noChangeAspect="1"/>
                    </pic:cNvPicPr>
                  </pic:nvPicPr>
                  <pic:blipFill>
                    <a:blip r:embed="rId20"/>
                    <a:stretch>
                      <a:fillRect/>
                    </a:stretch>
                  </pic:blipFill>
                  <pic:spPr>
                    <a:xfrm>
                      <a:off x="0" y="0"/>
                      <a:ext cx="5953125" cy="7743825"/>
                    </a:xfrm>
                    <a:prstGeom prst="rect">
                      <a:avLst/>
                    </a:prstGeom>
                  </pic:spPr>
                </pic:pic>
              </a:graphicData>
            </a:graphic>
          </wp:inline>
        </w:drawing>
      </w:r>
    </w:p>
    <w:p>
      <w:pPr>
        <w:pStyle w:val="5"/>
        <w:rPr>
          <w:rFonts w:hint="eastAsia" w:eastAsia="宋体"/>
          <w:sz w:val="24"/>
          <w:szCs w:val="24"/>
          <w:lang w:eastAsia="zh-CN"/>
        </w:rPr>
      </w:pPr>
      <w:r>
        <w:rPr>
          <w:rFonts w:hint="eastAsia" w:eastAsia="宋体"/>
          <w:sz w:val="24"/>
          <w:szCs w:val="24"/>
          <w:lang w:eastAsia="zh-CN"/>
        </w:rPr>
        <w:drawing>
          <wp:inline distT="0" distB="0" distL="114300" distR="114300">
            <wp:extent cx="5829300" cy="8124825"/>
            <wp:effectExtent l="0" t="0" r="0" b="9525"/>
            <wp:docPr id="18" name="图片 18" descr="167575096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5750966083"/>
                    <pic:cNvPicPr>
                      <a:picLocks noChangeAspect="1"/>
                    </pic:cNvPicPr>
                  </pic:nvPicPr>
                  <pic:blipFill>
                    <a:blip r:embed="rId21"/>
                    <a:stretch>
                      <a:fillRect/>
                    </a:stretch>
                  </pic:blipFill>
                  <pic:spPr>
                    <a:xfrm>
                      <a:off x="0" y="0"/>
                      <a:ext cx="5829300" cy="8124825"/>
                    </a:xfrm>
                    <a:prstGeom prst="rect">
                      <a:avLst/>
                    </a:prstGeom>
                  </pic:spPr>
                </pic:pic>
              </a:graphicData>
            </a:graphic>
          </wp:inline>
        </w:drawing>
      </w:r>
    </w:p>
    <w:p>
      <w:pPr>
        <w:rPr>
          <w:rFonts w:hint="eastAsia" w:eastAsia="宋体"/>
          <w:sz w:val="24"/>
          <w:szCs w:val="24"/>
          <w:lang w:eastAsia="zh-CN"/>
        </w:rPr>
      </w:pPr>
      <w:r>
        <w:rPr>
          <w:rFonts w:hint="eastAsia" w:eastAsia="宋体"/>
          <w:sz w:val="24"/>
          <w:szCs w:val="24"/>
          <w:lang w:eastAsia="zh-CN"/>
        </w:rPr>
        <w:drawing>
          <wp:inline distT="0" distB="0" distL="114300" distR="114300">
            <wp:extent cx="5753100" cy="7858125"/>
            <wp:effectExtent l="0" t="0" r="0" b="9525"/>
            <wp:docPr id="19" name="图片 19" descr="167575098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5750987171"/>
                    <pic:cNvPicPr>
                      <a:picLocks noChangeAspect="1"/>
                    </pic:cNvPicPr>
                  </pic:nvPicPr>
                  <pic:blipFill>
                    <a:blip r:embed="rId22"/>
                    <a:stretch>
                      <a:fillRect/>
                    </a:stretch>
                  </pic:blipFill>
                  <pic:spPr>
                    <a:xfrm>
                      <a:off x="0" y="0"/>
                      <a:ext cx="5753100" cy="7858125"/>
                    </a:xfrm>
                    <a:prstGeom prst="rect">
                      <a:avLst/>
                    </a:prstGeom>
                  </pic:spPr>
                </pic:pic>
              </a:graphicData>
            </a:graphic>
          </wp:inline>
        </w:drawing>
      </w:r>
    </w:p>
    <w:p>
      <w:pPr>
        <w:pStyle w:val="2"/>
        <w:ind w:left="0" w:leftChars="0" w:right="1470"/>
        <w:rPr>
          <w:rFonts w:hint="eastAsia" w:eastAsia="宋体"/>
          <w:sz w:val="24"/>
          <w:szCs w:val="24"/>
          <w:lang w:eastAsia="zh-CN"/>
        </w:rPr>
      </w:pPr>
      <w:r>
        <w:rPr>
          <w:rFonts w:hint="eastAsia" w:eastAsia="宋体"/>
          <w:sz w:val="24"/>
          <w:szCs w:val="24"/>
          <w:lang w:eastAsia="zh-CN"/>
        </w:rPr>
        <w:drawing>
          <wp:inline distT="0" distB="0" distL="114300" distR="114300">
            <wp:extent cx="6114415" cy="7429500"/>
            <wp:effectExtent l="0" t="0" r="635" b="0"/>
            <wp:docPr id="20" name="图片 20" descr="16757510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75751018278"/>
                    <pic:cNvPicPr>
                      <a:picLocks noChangeAspect="1"/>
                    </pic:cNvPicPr>
                  </pic:nvPicPr>
                  <pic:blipFill>
                    <a:blip r:embed="rId23"/>
                    <a:stretch>
                      <a:fillRect/>
                    </a:stretch>
                  </pic:blipFill>
                  <pic:spPr>
                    <a:xfrm>
                      <a:off x="0" y="0"/>
                      <a:ext cx="6114415" cy="7429500"/>
                    </a:xfrm>
                    <a:prstGeom prst="rect">
                      <a:avLst/>
                    </a:prstGeom>
                  </pic:spPr>
                </pic:pic>
              </a:graphicData>
            </a:graphic>
          </wp:inline>
        </w:drawing>
      </w:r>
    </w:p>
    <w:p>
      <w:pPr>
        <w:pStyle w:val="3"/>
        <w:rPr>
          <w:rFonts w:hint="eastAsia"/>
          <w:lang w:eastAsia="zh-CN"/>
        </w:rPr>
      </w:pPr>
    </w:p>
    <w:p>
      <w:pPr>
        <w:pStyle w:val="3"/>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drawing>
          <wp:inline distT="0" distB="0" distL="114300" distR="114300">
            <wp:extent cx="6048375" cy="7438390"/>
            <wp:effectExtent l="0" t="0" r="9525" b="10160"/>
            <wp:docPr id="21" name="图片 21" descr="167575104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5751044824"/>
                    <pic:cNvPicPr>
                      <a:picLocks noChangeAspect="1"/>
                    </pic:cNvPicPr>
                  </pic:nvPicPr>
                  <pic:blipFill>
                    <a:blip r:embed="rId24"/>
                    <a:stretch>
                      <a:fillRect/>
                    </a:stretch>
                  </pic:blipFill>
                  <pic:spPr>
                    <a:xfrm>
                      <a:off x="0" y="0"/>
                      <a:ext cx="6048375" cy="7438390"/>
                    </a:xfrm>
                    <a:prstGeom prst="rect">
                      <a:avLst/>
                    </a:prstGeom>
                  </pic:spPr>
                </pic:pic>
              </a:graphicData>
            </a:graphic>
          </wp:inline>
        </w:drawing>
      </w:r>
    </w:p>
    <w:p>
      <w:pPr>
        <w:pStyle w:val="3"/>
        <w:rPr>
          <w:rFonts w:ascii="微软雅黑" w:hAnsi="微软雅黑" w:eastAsia="微软雅黑" w:cs="微软雅黑"/>
          <w:szCs w:val="21"/>
        </w:rPr>
      </w:pPr>
    </w:p>
    <w:p>
      <w:pPr>
        <w:pStyle w:val="3"/>
        <w:rPr>
          <w:rFonts w:hint="eastAsia" w:ascii="微软雅黑" w:hAnsi="微软雅黑" w:eastAsia="微软雅黑" w:cs="微软雅黑"/>
          <w:szCs w:val="21"/>
        </w:rPr>
      </w:pPr>
    </w:p>
    <w:p>
      <w:pPr>
        <w:pStyle w:val="3"/>
        <w:rPr>
          <w:rFonts w:ascii="微软雅黑" w:hAnsi="微软雅黑" w:eastAsia="微软雅黑" w:cs="微软雅黑"/>
          <w:szCs w:val="21"/>
        </w:rPr>
      </w:pPr>
      <w:r>
        <w:rPr>
          <w:rFonts w:hint="eastAsia" w:ascii="微软雅黑" w:hAnsi="微软雅黑" w:eastAsia="微软雅黑" w:cs="微软雅黑"/>
          <w:szCs w:val="21"/>
        </w:rPr>
        <w:t>监测报告数据显示，土壤污染监测因子符合要求，各污染物浓度均符合《地下水质量标准》（GB/T14848-2017） III类 标准限值要求。</w:t>
      </w:r>
    </w:p>
    <w:p>
      <w:pPr>
        <w:pStyle w:val="3"/>
        <w:rPr>
          <w:rFonts w:ascii="微软雅黑" w:hAnsi="微软雅黑" w:eastAsia="微软雅黑" w:cs="微软雅黑"/>
          <w:szCs w:val="21"/>
        </w:rPr>
      </w:pPr>
    </w:p>
    <w:p>
      <w:pPr>
        <w:pStyle w:val="3"/>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5210175" cy="7134225"/>
            <wp:effectExtent l="0" t="0" r="9525" b="9525"/>
            <wp:docPr id="1" name="图片 1" descr="167694771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6947716193"/>
                    <pic:cNvPicPr>
                      <a:picLocks noChangeAspect="1"/>
                    </pic:cNvPicPr>
                  </pic:nvPicPr>
                  <pic:blipFill>
                    <a:blip r:embed="rId25"/>
                    <a:stretch>
                      <a:fillRect/>
                    </a:stretch>
                  </pic:blipFill>
                  <pic:spPr>
                    <a:xfrm>
                      <a:off x="0" y="0"/>
                      <a:ext cx="5210175" cy="7134225"/>
                    </a:xfrm>
                    <a:prstGeom prst="rect">
                      <a:avLst/>
                    </a:prstGeom>
                  </pic:spPr>
                </pic:pic>
              </a:graphicData>
            </a:graphic>
          </wp:inline>
        </w:drawing>
      </w:r>
    </w:p>
    <w:p>
      <w:pPr>
        <w:pStyle w:val="3"/>
        <w:rPr>
          <w:rFonts w:hint="eastAsia" w:ascii="微软雅黑" w:hAnsi="微软雅黑" w:eastAsia="微软雅黑" w:cs="微软雅黑"/>
          <w:szCs w:val="21"/>
        </w:rPr>
      </w:pPr>
    </w:p>
    <w:p>
      <w:pPr>
        <w:pStyle w:val="3"/>
        <w:rPr>
          <w:rFonts w:hint="eastAsia" w:ascii="微软雅黑" w:hAnsi="微软雅黑" w:eastAsia="微软雅黑" w:cs="微软雅黑"/>
          <w:szCs w:val="21"/>
        </w:rPr>
      </w:pPr>
    </w:p>
    <w:p>
      <w:pPr>
        <w:pStyle w:val="3"/>
        <w:rPr>
          <w:rFonts w:hint="eastAsia" w:ascii="微软雅黑" w:hAnsi="微软雅黑" w:eastAsia="微软雅黑" w:cs="微软雅黑"/>
          <w:szCs w:val="21"/>
        </w:rPr>
      </w:pPr>
    </w:p>
    <w:p>
      <w:pPr>
        <w:pStyle w:val="3"/>
        <w:rPr>
          <w:rFonts w:hint="eastAsia"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5248275" cy="7096125"/>
            <wp:effectExtent l="0" t="0" r="9525" b="9525"/>
            <wp:docPr id="2" name="图片 2" descr="167694774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6947745866"/>
                    <pic:cNvPicPr>
                      <a:picLocks noChangeAspect="1"/>
                    </pic:cNvPicPr>
                  </pic:nvPicPr>
                  <pic:blipFill>
                    <a:blip r:embed="rId26"/>
                    <a:stretch>
                      <a:fillRect/>
                    </a:stretch>
                  </pic:blipFill>
                  <pic:spPr>
                    <a:xfrm>
                      <a:off x="0" y="0"/>
                      <a:ext cx="5248275" cy="7096125"/>
                    </a:xfrm>
                    <a:prstGeom prst="rect">
                      <a:avLst/>
                    </a:prstGeom>
                  </pic:spPr>
                </pic:pic>
              </a:graphicData>
            </a:graphic>
          </wp:inline>
        </w:drawing>
      </w:r>
    </w:p>
    <w:p>
      <w:pPr>
        <w:pStyle w:val="3"/>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drawing>
          <wp:inline distT="0" distB="0" distL="114300" distR="114300">
            <wp:extent cx="5248275" cy="7124700"/>
            <wp:effectExtent l="0" t="0" r="9525" b="0"/>
            <wp:docPr id="6" name="图片 6" descr="167694784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947840117"/>
                    <pic:cNvPicPr>
                      <a:picLocks noChangeAspect="1"/>
                    </pic:cNvPicPr>
                  </pic:nvPicPr>
                  <pic:blipFill>
                    <a:blip r:embed="rId27"/>
                    <a:stretch>
                      <a:fillRect/>
                    </a:stretch>
                  </pic:blipFill>
                  <pic:spPr>
                    <a:xfrm>
                      <a:off x="0" y="0"/>
                      <a:ext cx="5248275" cy="7124700"/>
                    </a:xfrm>
                    <a:prstGeom prst="rect">
                      <a:avLst/>
                    </a:prstGeom>
                  </pic:spPr>
                </pic:pic>
              </a:graphicData>
            </a:graphic>
          </wp:inline>
        </w:drawing>
      </w:r>
    </w:p>
    <w:p>
      <w:pPr>
        <w:pStyle w:val="4"/>
        <w:rPr>
          <w:rFonts w:hint="eastAsia"/>
          <w:lang w:eastAsia="zh-CN"/>
        </w:rPr>
      </w:pPr>
      <w:r>
        <w:rPr>
          <w:rFonts w:hint="eastAsia"/>
          <w:lang w:eastAsia="zh-CN"/>
        </w:rPr>
        <w:drawing>
          <wp:inline distT="0" distB="0" distL="114300" distR="114300">
            <wp:extent cx="5248275" cy="7219950"/>
            <wp:effectExtent l="0" t="0" r="9525" b="0"/>
            <wp:docPr id="8" name="图片 8" descr="167694786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6947861324"/>
                    <pic:cNvPicPr>
                      <a:picLocks noChangeAspect="1"/>
                    </pic:cNvPicPr>
                  </pic:nvPicPr>
                  <pic:blipFill>
                    <a:blip r:embed="rId28"/>
                    <a:stretch>
                      <a:fillRect/>
                    </a:stretch>
                  </pic:blipFill>
                  <pic:spPr>
                    <a:xfrm>
                      <a:off x="0" y="0"/>
                      <a:ext cx="5248275" cy="7219950"/>
                    </a:xfrm>
                    <a:prstGeom prst="rect">
                      <a:avLst/>
                    </a:prstGeom>
                  </pic:spPr>
                </pic:pic>
              </a:graphicData>
            </a:graphic>
          </wp:inline>
        </w:drawing>
      </w:r>
    </w:p>
    <w:p>
      <w:pPr>
        <w:pStyle w:val="5"/>
        <w:rPr>
          <w:rFonts w:hint="eastAsia"/>
          <w:lang w:eastAsia="zh-CN"/>
        </w:rPr>
      </w:pPr>
    </w:p>
    <w:p>
      <w:pPr>
        <w:pStyle w:val="3"/>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drawing>
          <wp:inline distT="0" distB="0" distL="114300" distR="114300">
            <wp:extent cx="5153025" cy="7181850"/>
            <wp:effectExtent l="0" t="0" r="9525" b="0"/>
            <wp:docPr id="22" name="图片 22" descr="167694788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76947882586"/>
                    <pic:cNvPicPr>
                      <a:picLocks noChangeAspect="1"/>
                    </pic:cNvPicPr>
                  </pic:nvPicPr>
                  <pic:blipFill>
                    <a:blip r:embed="rId29"/>
                    <a:stretch>
                      <a:fillRect/>
                    </a:stretch>
                  </pic:blipFill>
                  <pic:spPr>
                    <a:xfrm>
                      <a:off x="0" y="0"/>
                      <a:ext cx="5153025" cy="7181850"/>
                    </a:xfrm>
                    <a:prstGeom prst="rect">
                      <a:avLst/>
                    </a:prstGeom>
                  </pic:spPr>
                </pic:pic>
              </a:graphicData>
            </a:graphic>
          </wp:inline>
        </w:drawing>
      </w:r>
    </w:p>
    <w:p>
      <w:pPr>
        <w:pStyle w:val="4"/>
        <w:rPr>
          <w:rFonts w:hint="eastAsia"/>
          <w:lang w:eastAsia="zh-CN"/>
        </w:rPr>
      </w:pPr>
      <w:r>
        <w:rPr>
          <w:rFonts w:hint="eastAsia"/>
          <w:lang w:eastAsia="zh-CN"/>
        </w:rPr>
        <w:drawing>
          <wp:inline distT="0" distB="0" distL="114300" distR="114300">
            <wp:extent cx="5238750" cy="6953250"/>
            <wp:effectExtent l="0" t="0" r="0" b="0"/>
            <wp:docPr id="23" name="图片 23" descr="167694789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76947899073"/>
                    <pic:cNvPicPr>
                      <a:picLocks noChangeAspect="1"/>
                    </pic:cNvPicPr>
                  </pic:nvPicPr>
                  <pic:blipFill>
                    <a:blip r:embed="rId30"/>
                    <a:stretch>
                      <a:fillRect/>
                    </a:stretch>
                  </pic:blipFill>
                  <pic:spPr>
                    <a:xfrm>
                      <a:off x="0" y="0"/>
                      <a:ext cx="5238750" cy="6953250"/>
                    </a:xfrm>
                    <a:prstGeom prst="rect">
                      <a:avLst/>
                    </a:prstGeom>
                  </pic:spPr>
                </pic:pic>
              </a:graphicData>
            </a:graphic>
          </wp:inline>
        </w:drawing>
      </w:r>
    </w:p>
    <w:p>
      <w:pPr>
        <w:pStyle w:val="5"/>
        <w:rPr>
          <w:rFonts w:hint="eastAsia"/>
          <w:lang w:eastAsia="zh-CN"/>
        </w:rPr>
      </w:pPr>
      <w:r>
        <w:rPr>
          <w:rFonts w:hint="eastAsia"/>
          <w:lang w:eastAsia="zh-CN"/>
        </w:rPr>
        <w:drawing>
          <wp:inline distT="0" distB="0" distL="114300" distR="114300">
            <wp:extent cx="5143500" cy="7200900"/>
            <wp:effectExtent l="0" t="0" r="0" b="0"/>
            <wp:docPr id="24" name="图片 24" descr="16769479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947915649"/>
                    <pic:cNvPicPr>
                      <a:picLocks noChangeAspect="1"/>
                    </pic:cNvPicPr>
                  </pic:nvPicPr>
                  <pic:blipFill>
                    <a:blip r:embed="rId31"/>
                    <a:stretch>
                      <a:fillRect/>
                    </a:stretch>
                  </pic:blipFill>
                  <pic:spPr>
                    <a:xfrm>
                      <a:off x="0" y="0"/>
                      <a:ext cx="5143500" cy="720090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276850" cy="7086600"/>
            <wp:effectExtent l="0" t="0" r="0" b="0"/>
            <wp:docPr id="28" name="图片 28" descr="167694793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76947932334"/>
                    <pic:cNvPicPr>
                      <a:picLocks noChangeAspect="1"/>
                    </pic:cNvPicPr>
                  </pic:nvPicPr>
                  <pic:blipFill>
                    <a:blip r:embed="rId32"/>
                    <a:stretch>
                      <a:fillRect/>
                    </a:stretch>
                  </pic:blipFill>
                  <pic:spPr>
                    <a:xfrm>
                      <a:off x="0" y="0"/>
                      <a:ext cx="5276850" cy="7086600"/>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181600" cy="7096125"/>
            <wp:effectExtent l="0" t="0" r="0" b="9525"/>
            <wp:docPr id="29" name="图片 29" descr="167694794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76947949123"/>
                    <pic:cNvPicPr>
                      <a:picLocks noChangeAspect="1"/>
                    </pic:cNvPicPr>
                  </pic:nvPicPr>
                  <pic:blipFill>
                    <a:blip r:embed="rId33"/>
                    <a:stretch>
                      <a:fillRect/>
                    </a:stretch>
                  </pic:blipFill>
                  <pic:spPr>
                    <a:xfrm>
                      <a:off x="0" y="0"/>
                      <a:ext cx="5181600" cy="7096125"/>
                    </a:xfrm>
                    <a:prstGeom prst="rect">
                      <a:avLst/>
                    </a:prstGeom>
                  </pic:spPr>
                </pic:pic>
              </a:graphicData>
            </a:graphic>
          </wp:inline>
        </w:drawing>
      </w:r>
    </w:p>
    <w:p>
      <w:pPr>
        <w:pStyle w:val="3"/>
        <w:rPr>
          <w:rFonts w:hint="eastAsia"/>
          <w:lang w:eastAsia="zh-CN"/>
        </w:rPr>
      </w:pPr>
      <w:r>
        <w:rPr>
          <w:rFonts w:hint="eastAsia"/>
          <w:lang w:eastAsia="zh-CN"/>
        </w:rPr>
        <w:drawing>
          <wp:inline distT="0" distB="0" distL="114300" distR="114300">
            <wp:extent cx="5191125" cy="7058025"/>
            <wp:effectExtent l="0" t="0" r="9525" b="9525"/>
            <wp:docPr id="30" name="图片 30" descr="16769486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6948644000"/>
                    <pic:cNvPicPr>
                      <a:picLocks noChangeAspect="1"/>
                    </pic:cNvPicPr>
                  </pic:nvPicPr>
                  <pic:blipFill>
                    <a:blip r:embed="rId34"/>
                    <a:stretch>
                      <a:fillRect/>
                    </a:stretch>
                  </pic:blipFill>
                  <pic:spPr>
                    <a:xfrm>
                      <a:off x="0" y="0"/>
                      <a:ext cx="5191125" cy="7058025"/>
                    </a:xfrm>
                    <a:prstGeom prst="rect">
                      <a:avLst/>
                    </a:prstGeom>
                  </pic:spPr>
                </pic:pic>
              </a:graphicData>
            </a:graphic>
          </wp:inline>
        </w:drawing>
      </w:r>
    </w:p>
    <w:p>
      <w:pPr>
        <w:pStyle w:val="4"/>
        <w:rPr>
          <w:rFonts w:hint="eastAsia"/>
          <w:lang w:eastAsia="zh-CN"/>
        </w:rPr>
      </w:pPr>
      <w:r>
        <w:rPr>
          <w:rFonts w:hint="eastAsia"/>
          <w:lang w:eastAsia="zh-CN"/>
        </w:rPr>
        <w:drawing>
          <wp:inline distT="0" distB="0" distL="114300" distR="114300">
            <wp:extent cx="5172075" cy="6886575"/>
            <wp:effectExtent l="0" t="0" r="9525" b="9525"/>
            <wp:docPr id="31" name="图片 31" descr="167694888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6948888884"/>
                    <pic:cNvPicPr>
                      <a:picLocks noChangeAspect="1"/>
                    </pic:cNvPicPr>
                  </pic:nvPicPr>
                  <pic:blipFill>
                    <a:blip r:embed="rId35"/>
                    <a:stretch>
                      <a:fillRect/>
                    </a:stretch>
                  </pic:blipFill>
                  <pic:spPr>
                    <a:xfrm>
                      <a:off x="0" y="0"/>
                      <a:ext cx="5172075" cy="6886575"/>
                    </a:xfrm>
                    <a:prstGeom prst="rect">
                      <a:avLst/>
                    </a:prstGeom>
                  </pic:spPr>
                </pic:pic>
              </a:graphicData>
            </a:graphic>
          </wp:inline>
        </w:drawing>
      </w:r>
    </w:p>
    <w:p>
      <w:pPr>
        <w:pStyle w:val="5"/>
        <w:rPr>
          <w:rFonts w:hint="eastAsia"/>
          <w:lang w:eastAsia="zh-CN"/>
        </w:rPr>
      </w:pPr>
      <w:r>
        <w:rPr>
          <w:rFonts w:hint="eastAsia"/>
          <w:lang w:eastAsia="zh-CN"/>
        </w:rPr>
        <w:drawing>
          <wp:inline distT="0" distB="0" distL="114300" distR="114300">
            <wp:extent cx="5133975" cy="6762750"/>
            <wp:effectExtent l="0" t="0" r="9525" b="0"/>
            <wp:docPr id="32" name="图片 32" descr="167694891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76948913256"/>
                    <pic:cNvPicPr>
                      <a:picLocks noChangeAspect="1"/>
                    </pic:cNvPicPr>
                  </pic:nvPicPr>
                  <pic:blipFill>
                    <a:blip r:embed="rId36"/>
                    <a:stretch>
                      <a:fillRect/>
                    </a:stretch>
                  </pic:blipFill>
                  <pic:spPr>
                    <a:xfrm>
                      <a:off x="0" y="0"/>
                      <a:ext cx="5133975" cy="6762750"/>
                    </a:xfrm>
                    <a:prstGeom prst="rect">
                      <a:avLst/>
                    </a:prstGeom>
                  </pic:spPr>
                </pic:pic>
              </a:graphicData>
            </a:graphic>
          </wp:inline>
        </w:drawing>
      </w:r>
    </w:p>
    <w:p>
      <w:pPr>
        <w:rPr>
          <w:rFonts w:hint="eastAsia"/>
          <w:lang w:eastAsia="zh-CN"/>
        </w:rPr>
      </w:pPr>
    </w:p>
    <w:p>
      <w:pPr>
        <w:pStyle w:val="3"/>
        <w:rPr>
          <w:rFonts w:hint="eastAsia" w:ascii="微软雅黑" w:hAnsi="微软雅黑" w:eastAsia="微软雅黑" w:cs="微软雅黑"/>
          <w:szCs w:val="21"/>
        </w:rPr>
      </w:pPr>
    </w:p>
    <w:p>
      <w:pPr>
        <w:pStyle w:val="6"/>
        <w:rPr>
          <w:szCs w:val="22"/>
        </w:rPr>
      </w:pPr>
      <w:bookmarkStart w:id="43" w:name="_Toc17134"/>
      <w:bookmarkStart w:id="44" w:name="_Toc28247"/>
      <w:r>
        <w:rPr>
          <w:rFonts w:hint="eastAsia"/>
          <w:szCs w:val="22"/>
        </w:rPr>
        <w:t>5 污染物排放情况</w:t>
      </w:r>
      <w:bookmarkEnd w:id="43"/>
      <w:bookmarkEnd w:id="44"/>
    </w:p>
    <w:p>
      <w:pPr>
        <w:pStyle w:val="7"/>
      </w:pPr>
      <w:bookmarkStart w:id="45" w:name="_Toc17108"/>
      <w:bookmarkStart w:id="46" w:name="_Toc23690"/>
      <w:r>
        <w:rPr>
          <w:rFonts w:hint="eastAsia"/>
        </w:rPr>
        <w:t>5.1 废水</w:t>
      </w:r>
      <w:bookmarkEnd w:id="45"/>
      <w:bookmarkEnd w:id="46"/>
    </w:p>
    <w:p>
      <w:pPr>
        <w:pStyle w:val="3"/>
        <w:spacing w:after="0" w:line="360" w:lineRule="auto"/>
        <w:outlineLvl w:val="1"/>
        <w:rPr>
          <w:rFonts w:ascii="微软雅黑" w:hAnsi="微软雅黑" w:eastAsia="微软雅黑" w:cs="微软雅黑"/>
          <w:szCs w:val="21"/>
        </w:rPr>
      </w:pPr>
      <w:bookmarkStart w:id="47" w:name="_Toc10634"/>
      <w:bookmarkStart w:id="48" w:name="_Toc15309"/>
      <w:bookmarkStart w:id="49" w:name="_Toc19122"/>
      <w:bookmarkStart w:id="50" w:name="_Toc1485"/>
      <w:r>
        <w:rPr>
          <w:rFonts w:hint="eastAsia" w:ascii="微软雅黑" w:hAnsi="微软雅黑" w:eastAsia="微软雅黑" w:cs="微软雅黑"/>
          <w:szCs w:val="21"/>
        </w:rPr>
        <w:t>依据废水在线监测及第三方季度监测报告提供的数据，202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年废水总排放量1586416.839吨（包括安阳盈德气体有限公司，详见废水在线监测报表）其中安阳中盈化肥有限公司特征污染物及排放量如下：</w:t>
      </w:r>
      <w:bookmarkEnd w:id="47"/>
      <w:bookmarkEnd w:id="48"/>
      <w:bookmarkEnd w:id="49"/>
    </w:p>
    <w:tbl>
      <w:tblPr>
        <w:tblStyle w:val="20"/>
        <w:tblpPr w:leftFromText="180" w:rightFromText="180" w:vertAnchor="text" w:horzAnchor="page" w:tblpX="1017" w:tblpY="60"/>
        <w:tblOverlap w:val="never"/>
        <w:tblW w:w="5000" w:type="pct"/>
        <w:tblInd w:w="0" w:type="dxa"/>
        <w:tblLayout w:type="autofit"/>
        <w:tblCellMar>
          <w:top w:w="0" w:type="dxa"/>
          <w:left w:w="0" w:type="dxa"/>
          <w:bottom w:w="0" w:type="dxa"/>
          <w:right w:w="0" w:type="dxa"/>
        </w:tblCellMar>
      </w:tblPr>
      <w:tblGrid>
        <w:gridCol w:w="1366"/>
        <w:gridCol w:w="1073"/>
        <w:gridCol w:w="1073"/>
        <w:gridCol w:w="2337"/>
        <w:gridCol w:w="2810"/>
        <w:gridCol w:w="1235"/>
      </w:tblGrid>
      <w:tr>
        <w:tblPrEx>
          <w:tblCellMar>
            <w:top w:w="0" w:type="dxa"/>
            <w:left w:w="0" w:type="dxa"/>
            <w:bottom w:w="0" w:type="dxa"/>
            <w:right w:w="0" w:type="dxa"/>
          </w:tblCellMar>
        </w:tblPrEx>
        <w:trPr>
          <w:trHeight w:val="6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安阳中盈202</w:t>
            </w:r>
            <w:r>
              <w:rPr>
                <w:rFonts w:hint="eastAsia" w:ascii="微软雅黑" w:hAnsi="微软雅黑" w:eastAsia="微软雅黑" w:cs="微软雅黑"/>
                <w:b/>
                <w:bCs/>
                <w:color w:val="000000"/>
                <w:kern w:val="0"/>
                <w:sz w:val="20"/>
                <w:lang w:val="en-US" w:eastAsia="zh-CN" w:bidi="ar"/>
              </w:rPr>
              <w:t>2</w:t>
            </w:r>
            <w:r>
              <w:rPr>
                <w:rFonts w:hint="eastAsia" w:ascii="微软雅黑" w:hAnsi="微软雅黑" w:eastAsia="微软雅黑" w:cs="微软雅黑"/>
                <w:b/>
                <w:bCs/>
                <w:color w:val="000000"/>
                <w:kern w:val="0"/>
                <w:sz w:val="20"/>
                <w:lang w:bidi="ar"/>
              </w:rPr>
              <w:t xml:space="preserve">年环保特征污染物排放量 </w:t>
            </w:r>
          </w:p>
        </w:tc>
      </w:tr>
      <w:tr>
        <w:tblPrEx>
          <w:tblCellMar>
            <w:top w:w="0" w:type="dxa"/>
            <w:left w:w="0" w:type="dxa"/>
            <w:bottom w:w="0" w:type="dxa"/>
            <w:right w:w="0" w:type="dxa"/>
          </w:tblCellMar>
        </w:tblPrEx>
        <w:trPr>
          <w:trHeight w:val="624" w:hRule="atLeast"/>
        </w:trPr>
        <w:tc>
          <w:tcPr>
            <w:tcW w:w="69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排放口名称</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污染物类别</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污染物名称</w:t>
            </w:r>
          </w:p>
        </w:tc>
        <w:tc>
          <w:tcPr>
            <w:tcW w:w="1181"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污染物排放量计算方法</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污染物排放量（千克）</w:t>
            </w:r>
          </w:p>
        </w:tc>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备注</w:t>
            </w:r>
          </w:p>
        </w:tc>
      </w:tr>
      <w:tr>
        <w:tblPrEx>
          <w:tblCellMar>
            <w:top w:w="0" w:type="dxa"/>
            <w:left w:w="0" w:type="dxa"/>
            <w:bottom w:w="0" w:type="dxa"/>
            <w:right w:w="0" w:type="dxa"/>
          </w:tblCellMar>
        </w:tblPrEx>
        <w:trPr>
          <w:trHeight w:val="624" w:hRule="atLeast"/>
        </w:trPr>
        <w:tc>
          <w:tcPr>
            <w:tcW w:w="69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1181"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330" w:hRule="atLeast"/>
        </w:trPr>
        <w:tc>
          <w:tcPr>
            <w:tcW w:w="6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COD</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自动监测</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10209.3</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both"/>
              <w:textAlignment w:val="center"/>
              <w:rPr>
                <w:rFonts w:hint="default" w:ascii="微软雅黑" w:hAnsi="微软雅黑" w:eastAsia="微软雅黑" w:cs="微软雅黑"/>
                <w:color w:val="000000"/>
                <w:sz w:val="20"/>
                <w:lang w:val="en-US" w:eastAsia="zh-CN"/>
              </w:rPr>
            </w:pPr>
          </w:p>
        </w:tc>
      </w:tr>
      <w:tr>
        <w:tblPrEx>
          <w:tblCellMar>
            <w:top w:w="0" w:type="dxa"/>
            <w:left w:w="0" w:type="dxa"/>
            <w:bottom w:w="0" w:type="dxa"/>
            <w:right w:w="0" w:type="dxa"/>
          </w:tblCellMar>
        </w:tblPrEx>
        <w:trPr>
          <w:trHeight w:val="330" w:hRule="atLeast"/>
        </w:trPr>
        <w:tc>
          <w:tcPr>
            <w:tcW w:w="6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氨氮</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自动监测</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42.72</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both"/>
              <w:textAlignment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330" w:hRule="atLeast"/>
        </w:trPr>
        <w:tc>
          <w:tcPr>
            <w:tcW w:w="6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废水总排口</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废水</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SS</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bottom"/>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监测机构监测</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8459.3</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330" w:hRule="atLeast"/>
        </w:trPr>
        <w:tc>
          <w:tcPr>
            <w:tcW w:w="6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废水总排口</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废水</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总氮</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自动监测</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2459.8</w:t>
            </w:r>
          </w:p>
        </w:tc>
        <w:tc>
          <w:tcPr>
            <w:tcW w:w="6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both"/>
              <w:textAlignment w:val="center"/>
              <w:rPr>
                <w:rFonts w:ascii="微软雅黑" w:hAnsi="微软雅黑" w:eastAsia="微软雅黑" w:cs="微软雅黑"/>
                <w:color w:val="000000"/>
                <w:kern w:val="0"/>
                <w:sz w:val="20"/>
                <w:lang w:bidi="ar"/>
              </w:rPr>
            </w:pPr>
          </w:p>
        </w:tc>
      </w:tr>
      <w:bookmarkEnd w:id="50"/>
    </w:tbl>
    <w:p>
      <w:pPr>
        <w:pStyle w:val="2"/>
        <w:ind w:left="0" w:leftChars="0" w:right="1470"/>
        <w:rPr>
          <w:rFonts w:hint="eastAsia" w:eastAsia="宋体"/>
          <w:lang w:val="en-US" w:eastAsia="zh-CN"/>
        </w:rPr>
      </w:pPr>
      <w:bookmarkStart w:id="51" w:name="_Toc24689"/>
      <w:r>
        <w:rPr>
          <w:rFonts w:hint="eastAsia"/>
        </w:rPr>
        <w:t>备注：安阳中盈化肥有限公司</w:t>
      </w:r>
      <w:r>
        <w:rPr>
          <w:rFonts w:hint="eastAsia"/>
          <w:lang w:val="en-US" w:eastAsia="zh-CN"/>
        </w:rPr>
        <w:t>安阳盈德气体有限公司</w:t>
      </w:r>
      <w:r>
        <w:rPr>
          <w:rFonts w:hint="eastAsia"/>
        </w:rPr>
        <w:t>污染物总排放量</w:t>
      </w:r>
      <w:r>
        <w:rPr>
          <w:rFonts w:hint="eastAsia"/>
          <w:lang w:val="en-US" w:eastAsia="zh-CN"/>
        </w:rPr>
        <w:t>合计。</w:t>
      </w:r>
    </w:p>
    <w:p>
      <w:pPr>
        <w:pStyle w:val="7"/>
      </w:pPr>
      <w:bookmarkStart w:id="52" w:name="_Toc23684"/>
      <w:r>
        <w:t>5.</w:t>
      </w:r>
      <w:r>
        <w:rPr>
          <w:rFonts w:hint="eastAsia"/>
        </w:rPr>
        <w:t>2</w:t>
      </w:r>
      <w:r>
        <w:t>废气</w:t>
      </w:r>
      <w:bookmarkEnd w:id="51"/>
      <w:bookmarkEnd w:id="52"/>
    </w:p>
    <w:p>
      <w:pPr>
        <w:pStyle w:val="4"/>
        <w:spacing w:before="0" w:after="0" w:line="360" w:lineRule="auto"/>
        <w:rPr>
          <w:rFonts w:ascii="微软雅黑" w:hAnsi="微软雅黑" w:eastAsia="微软雅黑" w:cs="微软雅黑"/>
          <w:sz w:val="21"/>
          <w:szCs w:val="21"/>
        </w:rPr>
      </w:pPr>
      <w:r>
        <w:rPr>
          <w:rFonts w:hint="eastAsia" w:ascii="微软雅黑" w:hAnsi="微软雅黑" w:eastAsia="微软雅黑" w:cs="微软雅黑"/>
          <w:sz w:val="21"/>
          <w:szCs w:val="21"/>
        </w:rPr>
        <w:t>依据废气在线监测及第三方季度监测报告提供的数据，202</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年废水特征污染物及排放量如下：</w:t>
      </w:r>
    </w:p>
    <w:tbl>
      <w:tblPr>
        <w:tblStyle w:val="20"/>
        <w:tblW w:w="5000" w:type="pct"/>
        <w:tblInd w:w="0" w:type="dxa"/>
        <w:tblLayout w:type="autofit"/>
        <w:tblCellMar>
          <w:top w:w="0" w:type="dxa"/>
          <w:left w:w="0" w:type="dxa"/>
          <w:bottom w:w="0" w:type="dxa"/>
          <w:right w:w="0" w:type="dxa"/>
        </w:tblCellMar>
      </w:tblPr>
      <w:tblGrid>
        <w:gridCol w:w="1183"/>
        <w:gridCol w:w="1769"/>
        <w:gridCol w:w="1262"/>
        <w:gridCol w:w="2474"/>
        <w:gridCol w:w="2228"/>
        <w:gridCol w:w="978"/>
      </w:tblGrid>
      <w:tr>
        <w:tblPrEx>
          <w:tblCellMar>
            <w:top w:w="0" w:type="dxa"/>
            <w:left w:w="0" w:type="dxa"/>
            <w:bottom w:w="0" w:type="dxa"/>
            <w:right w:w="0" w:type="dxa"/>
          </w:tblCellMar>
        </w:tblPrEx>
        <w:trPr>
          <w:trHeight w:val="66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安阳中盈202</w:t>
            </w:r>
            <w:r>
              <w:rPr>
                <w:rFonts w:hint="eastAsia" w:ascii="微软雅黑" w:hAnsi="微软雅黑" w:eastAsia="微软雅黑" w:cs="微软雅黑"/>
                <w:b/>
                <w:bCs/>
                <w:color w:val="000000"/>
                <w:kern w:val="0"/>
                <w:sz w:val="20"/>
                <w:lang w:val="en-US" w:eastAsia="zh-CN" w:bidi="ar"/>
              </w:rPr>
              <w:t>2</w:t>
            </w:r>
            <w:r>
              <w:rPr>
                <w:rFonts w:hint="eastAsia" w:ascii="微软雅黑" w:hAnsi="微软雅黑" w:eastAsia="微软雅黑" w:cs="微软雅黑"/>
                <w:b/>
                <w:bCs/>
                <w:color w:val="000000"/>
                <w:kern w:val="0"/>
                <w:sz w:val="20"/>
                <w:lang w:bidi="ar"/>
              </w:rPr>
              <w:t xml:space="preserve">年环保特征污染物排放量 </w:t>
            </w:r>
          </w:p>
        </w:tc>
      </w:tr>
      <w:tr>
        <w:tblPrEx>
          <w:tblCellMar>
            <w:top w:w="0" w:type="dxa"/>
            <w:left w:w="0" w:type="dxa"/>
            <w:bottom w:w="0" w:type="dxa"/>
            <w:right w:w="0" w:type="dxa"/>
          </w:tblCellMar>
        </w:tblPrEx>
        <w:trPr>
          <w:trHeight w:val="624" w:hRule="atLeast"/>
        </w:trPr>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排放口名称</w:t>
            </w:r>
          </w:p>
        </w:tc>
        <w:tc>
          <w:tcPr>
            <w:tcW w:w="894"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污染物类别</w:t>
            </w:r>
          </w:p>
        </w:tc>
        <w:tc>
          <w:tcPr>
            <w:tcW w:w="638"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污染物名称</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污染物排放量计算方法</w:t>
            </w:r>
          </w:p>
        </w:tc>
        <w:tc>
          <w:tcPr>
            <w:tcW w:w="112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污染物排放量（千克）</w:t>
            </w:r>
          </w:p>
        </w:tc>
        <w:tc>
          <w:tcPr>
            <w:tcW w:w="49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备注</w:t>
            </w:r>
          </w:p>
        </w:tc>
      </w:tr>
      <w:tr>
        <w:tblPrEx>
          <w:tblCellMar>
            <w:top w:w="0" w:type="dxa"/>
            <w:left w:w="0" w:type="dxa"/>
            <w:bottom w:w="0" w:type="dxa"/>
            <w:right w:w="0" w:type="dxa"/>
          </w:tblCellMar>
        </w:tblPrEx>
        <w:trPr>
          <w:trHeight w:val="624" w:hRule="atLeast"/>
        </w:trPr>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638"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b/>
                <w:color w:val="000000"/>
                <w:sz w:val="20"/>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112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微软雅黑" w:hAnsi="微软雅黑" w:eastAsia="微软雅黑" w:cs="微软雅黑"/>
                <w:b/>
                <w:color w:val="000000"/>
                <w:sz w:val="20"/>
              </w:rPr>
            </w:pPr>
          </w:p>
        </w:tc>
        <w:tc>
          <w:tcPr>
            <w:tcW w:w="49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990" w:hRule="atLeast"/>
        </w:trPr>
        <w:tc>
          <w:tcPr>
            <w:tcW w:w="5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尿素包装楼及转运楼袋式除尘器</w:t>
            </w:r>
          </w:p>
        </w:tc>
        <w:tc>
          <w:tcPr>
            <w:tcW w:w="8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颗粒物</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颗粒物</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监测机构监测</w:t>
            </w:r>
          </w:p>
        </w:tc>
        <w:tc>
          <w:tcPr>
            <w:tcW w:w="11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1252.22</w:t>
            </w:r>
            <w:bookmarkStart w:id="58" w:name="_GoBack"/>
            <w:bookmarkEnd w:id="58"/>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中盈</w:t>
            </w:r>
          </w:p>
        </w:tc>
      </w:tr>
      <w:tr>
        <w:tblPrEx>
          <w:tblCellMar>
            <w:top w:w="0" w:type="dxa"/>
            <w:left w:w="0" w:type="dxa"/>
            <w:bottom w:w="0" w:type="dxa"/>
            <w:right w:w="0" w:type="dxa"/>
          </w:tblCellMar>
        </w:tblPrEx>
        <w:trPr>
          <w:trHeight w:val="500" w:hRule="atLeast"/>
        </w:trPr>
        <w:tc>
          <w:tcPr>
            <w:tcW w:w="5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造粒塔出口</w:t>
            </w:r>
          </w:p>
        </w:tc>
        <w:tc>
          <w:tcPr>
            <w:tcW w:w="8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颗粒物</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颗粒物</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监测机构监测</w:t>
            </w:r>
          </w:p>
        </w:tc>
        <w:tc>
          <w:tcPr>
            <w:tcW w:w="11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4070.9</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中盈</w:t>
            </w:r>
          </w:p>
        </w:tc>
      </w:tr>
      <w:tr>
        <w:tblPrEx>
          <w:tblCellMar>
            <w:top w:w="0" w:type="dxa"/>
            <w:left w:w="0" w:type="dxa"/>
            <w:bottom w:w="0" w:type="dxa"/>
            <w:right w:w="0" w:type="dxa"/>
          </w:tblCellMar>
        </w:tblPrEx>
        <w:trPr>
          <w:trHeight w:val="990" w:hRule="atLeast"/>
        </w:trPr>
        <w:tc>
          <w:tcPr>
            <w:tcW w:w="5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造粒塔、尿素放空管及无组织</w:t>
            </w:r>
          </w:p>
        </w:tc>
        <w:tc>
          <w:tcPr>
            <w:tcW w:w="8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氨</w:t>
            </w:r>
          </w:p>
        </w:tc>
        <w:tc>
          <w:tcPr>
            <w:tcW w:w="6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废气 氨</w:t>
            </w:r>
          </w:p>
        </w:tc>
        <w:tc>
          <w:tcPr>
            <w:tcW w:w="1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物料衡算及监测机构监测</w:t>
            </w:r>
          </w:p>
        </w:tc>
        <w:tc>
          <w:tcPr>
            <w:tcW w:w="112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3888.54</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中盈</w:t>
            </w:r>
          </w:p>
        </w:tc>
      </w:tr>
    </w:tbl>
    <w:p>
      <w:pPr>
        <w:pStyle w:val="7"/>
      </w:pPr>
    </w:p>
    <w:p>
      <w:pPr>
        <w:pStyle w:val="7"/>
        <w:rPr>
          <w:color w:val="auto"/>
        </w:rPr>
      </w:pPr>
      <w:bookmarkStart w:id="53" w:name="_Toc19112"/>
      <w:bookmarkStart w:id="54" w:name="_Toc25390"/>
      <w:r>
        <w:rPr>
          <w:color w:val="auto"/>
        </w:rPr>
        <w:t>5.</w:t>
      </w:r>
      <w:r>
        <w:rPr>
          <w:rFonts w:hint="eastAsia"/>
          <w:color w:val="auto"/>
        </w:rPr>
        <w:t>3</w:t>
      </w:r>
      <w:r>
        <w:rPr>
          <w:color w:val="auto"/>
        </w:rPr>
        <w:t xml:space="preserve"> 固废</w:t>
      </w:r>
      <w:bookmarkEnd w:id="53"/>
      <w:bookmarkEnd w:id="54"/>
    </w:p>
    <w:p>
      <w:pPr>
        <w:pStyle w:val="3"/>
        <w:spacing w:after="0" w:line="360" w:lineRule="auto"/>
        <w:ind w:firstLine="420" w:firstLineChars="200"/>
        <w:rPr>
          <w:rFonts w:ascii="微软雅黑" w:hAnsi="微软雅黑" w:eastAsia="微软雅黑" w:cs="微软雅黑"/>
          <w:szCs w:val="21"/>
        </w:rPr>
      </w:pPr>
      <w:r>
        <w:rPr>
          <w:rFonts w:hint="eastAsia" w:ascii="微软雅黑" w:hAnsi="微软雅黑" w:eastAsia="微软雅黑" w:cs="微软雅黑"/>
          <w:szCs w:val="21"/>
        </w:rPr>
        <w:t>安阳中盈主要固体废物是灰渣及生活垃圾，202</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年公司固废排放综合利用情况如下：</w:t>
      </w:r>
    </w:p>
    <w:tbl>
      <w:tblPr>
        <w:tblStyle w:val="20"/>
        <w:tblW w:w="5000" w:type="pct"/>
        <w:tblInd w:w="0" w:type="dxa"/>
        <w:tblLayout w:type="autofit"/>
        <w:tblCellMar>
          <w:top w:w="0" w:type="dxa"/>
          <w:left w:w="0" w:type="dxa"/>
          <w:bottom w:w="0" w:type="dxa"/>
          <w:right w:w="0" w:type="dxa"/>
        </w:tblCellMar>
      </w:tblPr>
      <w:tblGrid>
        <w:gridCol w:w="458"/>
        <w:gridCol w:w="1430"/>
        <w:gridCol w:w="1355"/>
        <w:gridCol w:w="1815"/>
        <w:gridCol w:w="904"/>
        <w:gridCol w:w="469"/>
        <w:gridCol w:w="1144"/>
        <w:gridCol w:w="2319"/>
      </w:tblGrid>
      <w:tr>
        <w:tblPrEx>
          <w:tblCellMar>
            <w:top w:w="0" w:type="dxa"/>
            <w:left w:w="0" w:type="dxa"/>
            <w:bottom w:w="0" w:type="dxa"/>
            <w:right w:w="0" w:type="dxa"/>
          </w:tblCellMar>
        </w:tblPrEx>
        <w:trPr>
          <w:trHeight w:val="54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202</w:t>
            </w:r>
            <w:r>
              <w:rPr>
                <w:rFonts w:hint="eastAsia" w:ascii="微软雅黑" w:hAnsi="微软雅黑" w:eastAsia="微软雅黑" w:cs="微软雅黑"/>
                <w:b/>
                <w:bCs/>
                <w:color w:val="000000"/>
                <w:kern w:val="0"/>
                <w:sz w:val="20"/>
                <w:lang w:val="en-US" w:eastAsia="zh-CN" w:bidi="ar"/>
              </w:rPr>
              <w:t>2</w:t>
            </w:r>
            <w:r>
              <w:rPr>
                <w:rFonts w:hint="eastAsia" w:ascii="微软雅黑" w:hAnsi="微软雅黑" w:eastAsia="微软雅黑" w:cs="微软雅黑"/>
                <w:b/>
                <w:bCs/>
                <w:color w:val="000000"/>
                <w:kern w:val="0"/>
                <w:sz w:val="20"/>
                <w:lang w:bidi="ar"/>
              </w:rPr>
              <w:t>年中盈化肥固废及回收利用率统计表</w:t>
            </w:r>
          </w:p>
        </w:tc>
      </w:tr>
      <w:tr>
        <w:tblPrEx>
          <w:tblCellMar>
            <w:top w:w="0" w:type="dxa"/>
            <w:left w:w="0" w:type="dxa"/>
            <w:bottom w:w="0" w:type="dxa"/>
            <w:right w:w="0" w:type="dxa"/>
          </w:tblCellMar>
        </w:tblPrEx>
        <w:trPr>
          <w:trHeight w:val="54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序号</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固体废物名称</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产生量（吨）</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回收利用量（吨）</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综合处置</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库存</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回收利用率</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b/>
                <w:bCs/>
                <w:color w:val="000000"/>
                <w:sz w:val="20"/>
              </w:rPr>
            </w:pPr>
            <w:r>
              <w:rPr>
                <w:rFonts w:hint="eastAsia" w:ascii="微软雅黑" w:hAnsi="微软雅黑" w:eastAsia="微软雅黑" w:cs="微软雅黑"/>
                <w:b/>
                <w:bCs/>
                <w:color w:val="000000"/>
                <w:kern w:val="0"/>
                <w:sz w:val="20"/>
                <w:lang w:bidi="ar"/>
              </w:rPr>
              <w:t>备注</w:t>
            </w:r>
          </w:p>
        </w:tc>
      </w:tr>
      <w:tr>
        <w:tblPrEx>
          <w:tblCellMar>
            <w:top w:w="0" w:type="dxa"/>
            <w:left w:w="0" w:type="dxa"/>
            <w:bottom w:w="0" w:type="dxa"/>
            <w:right w:w="0" w:type="dxa"/>
          </w:tblCellMar>
        </w:tblPrEx>
        <w:trPr>
          <w:trHeight w:val="84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污泥</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kern w:val="0"/>
                <w:sz w:val="20"/>
                <w:lang w:val="en-US" w:eastAsia="zh-CN" w:bidi="ar"/>
              </w:rPr>
              <w:t>124.6</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124.6</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color w:val="000000"/>
                <w:sz w:val="20"/>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r>
              <w:rPr>
                <w:rFonts w:hint="eastAsia" w:ascii="微软雅黑" w:hAnsi="微软雅黑" w:eastAsia="微软雅黑" w:cs="微软雅黑"/>
                <w:color w:val="000000"/>
                <w:sz w:val="20"/>
              </w:rPr>
              <w:t>与原料煤掺烧综合利用</w:t>
            </w:r>
          </w:p>
        </w:tc>
      </w:tr>
      <w:tr>
        <w:tblPrEx>
          <w:tblCellMar>
            <w:top w:w="0" w:type="dxa"/>
            <w:left w:w="0" w:type="dxa"/>
            <w:bottom w:w="0" w:type="dxa"/>
            <w:right w:w="0" w:type="dxa"/>
          </w:tblCellMar>
        </w:tblPrEx>
        <w:trPr>
          <w:trHeight w:val="84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2</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污水格栅废渣</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kern w:val="0"/>
                <w:sz w:val="20"/>
                <w:lang w:bidi="ar"/>
              </w:rPr>
              <w:t>1.1</w:t>
            </w:r>
            <w:r>
              <w:rPr>
                <w:rFonts w:hint="eastAsia" w:ascii="微软雅黑" w:hAnsi="微软雅黑" w:eastAsia="微软雅黑" w:cs="微软雅黑"/>
                <w:color w:val="000000"/>
                <w:kern w:val="0"/>
                <w:sz w:val="20"/>
                <w:lang w:val="en-US" w:eastAsia="zh-CN" w:bidi="ar"/>
              </w:rPr>
              <w:t>5</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kern w:val="0"/>
                <w:sz w:val="20"/>
                <w:lang w:bidi="ar"/>
              </w:rPr>
              <w:t>1.1</w:t>
            </w:r>
            <w:r>
              <w:rPr>
                <w:rFonts w:hint="eastAsia" w:ascii="微软雅黑" w:hAnsi="微软雅黑" w:eastAsia="微软雅黑" w:cs="微软雅黑"/>
                <w:color w:val="000000"/>
                <w:kern w:val="0"/>
                <w:sz w:val="20"/>
                <w:lang w:val="en-US" w:eastAsia="zh-CN" w:bidi="ar"/>
              </w:rPr>
              <w:t>5</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84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3</w:t>
            </w: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废润滑油</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kern w:val="0"/>
                <w:sz w:val="20"/>
                <w:lang w:bidi="ar"/>
              </w:rPr>
            </w:pPr>
            <w:r>
              <w:rPr>
                <w:rFonts w:hint="eastAsia" w:ascii="微软雅黑" w:hAnsi="微软雅黑" w:eastAsia="微软雅黑" w:cs="微软雅黑"/>
                <w:color w:val="000000"/>
                <w:kern w:val="0"/>
                <w:sz w:val="20"/>
                <w:lang w:bidi="ar"/>
              </w:rPr>
              <w:t>0</w:t>
            </w:r>
          </w:p>
        </w:tc>
        <w:tc>
          <w:tcPr>
            <w:tcW w:w="4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84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4</w:t>
            </w:r>
          </w:p>
        </w:tc>
        <w:tc>
          <w:tcPr>
            <w:tcW w:w="72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脱硫</w:t>
            </w:r>
            <w:r>
              <w:rPr>
                <w:rFonts w:hint="eastAsia" w:ascii="微软雅黑" w:hAnsi="微软雅黑" w:eastAsia="微软雅黑" w:cs="微软雅黑"/>
                <w:color w:val="000000"/>
                <w:kern w:val="0"/>
                <w:sz w:val="20"/>
                <w:lang w:val="en-US" w:eastAsia="zh-CN" w:bidi="ar"/>
              </w:rPr>
              <w:t>废</w:t>
            </w:r>
            <w:r>
              <w:rPr>
                <w:rFonts w:hint="eastAsia" w:ascii="微软雅黑" w:hAnsi="微软雅黑" w:eastAsia="微软雅黑" w:cs="微软雅黑"/>
                <w:color w:val="000000"/>
                <w:kern w:val="0"/>
                <w:sz w:val="20"/>
                <w:lang w:bidi="ar"/>
              </w:rPr>
              <w:t>催化剂</w:t>
            </w:r>
          </w:p>
        </w:tc>
        <w:tc>
          <w:tcPr>
            <w:tcW w:w="6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kern w:val="0"/>
                <w:sz w:val="20"/>
                <w:lang w:val="en-US" w:eastAsia="zh-CN" w:bidi="ar"/>
              </w:rPr>
            </w:pPr>
            <w:r>
              <w:rPr>
                <w:rFonts w:hint="eastAsia" w:ascii="微软雅黑" w:hAnsi="微软雅黑" w:eastAsia="微软雅黑" w:cs="微软雅黑"/>
                <w:color w:val="000000"/>
                <w:kern w:val="0"/>
                <w:sz w:val="20"/>
                <w:lang w:val="en-US" w:eastAsia="zh-CN" w:bidi="ar"/>
              </w:rPr>
              <w:t>0</w:t>
            </w:r>
          </w:p>
        </w:tc>
        <w:tc>
          <w:tcPr>
            <w:tcW w:w="45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5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5</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r>
              <w:rPr>
                <w:rFonts w:hint="eastAsia" w:ascii="微软雅黑" w:hAnsi="微软雅黑" w:eastAsia="微软雅黑" w:cs="微软雅黑"/>
                <w:color w:val="000000"/>
                <w:sz w:val="20"/>
              </w:rPr>
              <w:t>脱氢</w:t>
            </w:r>
            <w:r>
              <w:rPr>
                <w:rFonts w:hint="eastAsia" w:ascii="微软雅黑" w:hAnsi="微软雅黑" w:eastAsia="微软雅黑" w:cs="微软雅黑"/>
                <w:color w:val="000000"/>
                <w:sz w:val="20"/>
                <w:lang w:val="en-US" w:eastAsia="zh-CN"/>
              </w:rPr>
              <w:t>废</w:t>
            </w:r>
            <w:r>
              <w:rPr>
                <w:rFonts w:hint="eastAsia" w:ascii="微软雅黑" w:hAnsi="微软雅黑" w:eastAsia="微软雅黑" w:cs="微软雅黑"/>
                <w:color w:val="000000"/>
                <w:sz w:val="20"/>
              </w:rPr>
              <w:t>催化剂</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eastAsia="zh-CN"/>
              </w:rPr>
            </w:pPr>
            <w:r>
              <w:rPr>
                <w:rFonts w:hint="eastAsia" w:ascii="微软雅黑" w:hAnsi="微软雅黑" w:eastAsia="微软雅黑" w:cs="微软雅黑"/>
                <w:color w:val="000000"/>
                <w:sz w:val="20"/>
                <w:lang w:val="en-US" w:eastAsia="zh-CN"/>
              </w:rPr>
              <w:t>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eastAsia="zh-CN"/>
              </w:rPr>
            </w:pPr>
            <w:r>
              <w:rPr>
                <w:rFonts w:hint="eastAsia" w:ascii="微软雅黑" w:hAnsi="微软雅黑" w:eastAsia="微软雅黑" w:cs="微软雅黑"/>
                <w:color w:val="000000"/>
                <w:sz w:val="20"/>
                <w:lang w:val="en-US" w:eastAsia="zh-CN"/>
              </w:rPr>
              <w:t>0</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5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6</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default"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废离子交换树脂</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微软雅黑" w:hAnsi="微软雅黑" w:eastAsia="微软雅黑" w:cs="微软雅黑"/>
                <w:color w:val="000000"/>
                <w:sz w:val="20"/>
                <w:lang w:val="en-US" w:eastAsia="zh-CN"/>
              </w:rPr>
            </w:pPr>
            <w:r>
              <w:rPr>
                <w:rFonts w:hint="eastAsia" w:ascii="微软雅黑" w:hAnsi="微软雅黑" w:eastAsia="微软雅黑" w:cs="微软雅黑"/>
                <w:color w:val="000000"/>
                <w:sz w:val="20"/>
                <w:lang w:val="en-US" w:eastAsia="zh-CN"/>
              </w:rPr>
              <w:t>0</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p>
        </w:tc>
      </w:tr>
      <w:tr>
        <w:tblPrEx>
          <w:tblCellMar>
            <w:top w:w="0" w:type="dxa"/>
            <w:left w:w="0" w:type="dxa"/>
            <w:bottom w:w="0" w:type="dxa"/>
            <w:right w:w="0" w:type="dxa"/>
          </w:tblCellMar>
        </w:tblPrEx>
        <w:trPr>
          <w:trHeight w:val="58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合计</w:t>
            </w:r>
          </w:p>
        </w:tc>
        <w:tc>
          <w:tcPr>
            <w:tcW w:w="7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p>
        </w:tc>
        <w:tc>
          <w:tcPr>
            <w:tcW w:w="91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p>
        </w:tc>
        <w:tc>
          <w:tcPr>
            <w:tcW w:w="45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微软雅黑" w:hAnsi="微软雅黑" w:eastAsia="微软雅黑" w:cs="微软雅黑"/>
                <w:color w:val="000000"/>
                <w:sz w:val="20"/>
              </w:rPr>
            </w:pP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kern w:val="0"/>
                <w:sz w:val="20"/>
                <w:lang w:bidi="ar"/>
              </w:rPr>
              <w:t>100.00%</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微软雅黑" w:hAnsi="微软雅黑" w:eastAsia="微软雅黑" w:cs="微软雅黑"/>
                <w:color w:val="000000"/>
                <w:sz w:val="20"/>
              </w:rPr>
            </w:pPr>
          </w:p>
        </w:tc>
      </w:tr>
    </w:tbl>
    <w:p/>
    <w:p>
      <w:pPr>
        <w:pStyle w:val="7"/>
      </w:pPr>
      <w:bookmarkStart w:id="55" w:name="_Toc30167"/>
      <w:bookmarkStart w:id="56" w:name="_Toc23057"/>
      <w:r>
        <w:rPr>
          <w:rFonts w:hint="eastAsia"/>
        </w:rPr>
        <w:t>5.4 结论</w:t>
      </w:r>
      <w:bookmarkEnd w:id="55"/>
      <w:bookmarkEnd w:id="56"/>
    </w:p>
    <w:p>
      <w:pPr>
        <w:pStyle w:val="3"/>
        <w:spacing w:before="213" w:line="276" w:lineRule="auto"/>
        <w:ind w:left="220" w:right="237" w:firstLine="480"/>
        <w:rPr>
          <w:rFonts w:ascii="微软雅黑" w:hAnsi="微软雅黑" w:eastAsia="微软雅黑" w:cs="微软雅黑"/>
          <w:bCs/>
          <w:szCs w:val="21"/>
        </w:rPr>
      </w:pPr>
      <w:r>
        <w:rPr>
          <w:rFonts w:hint="eastAsia" w:ascii="微软雅黑" w:hAnsi="微软雅黑" w:eastAsia="微软雅黑" w:cs="微软雅黑"/>
          <w:bCs/>
          <w:szCs w:val="21"/>
        </w:rPr>
        <w:t>综上，分析公司各工段生产工艺流程、环境污染防治设施，对照《有毒有害大气污染物名录（2018 年）》的公告 （2019 年 第 4 号）、《有毒有害水污染物名录（第一批）》的公告（</w:t>
      </w:r>
      <w:r>
        <w:rPr>
          <w:rFonts w:ascii="微软雅黑" w:hAnsi="微软雅黑" w:eastAsia="微软雅黑" w:cs="微软雅黑"/>
          <w:bCs/>
          <w:szCs w:val="21"/>
        </w:rPr>
        <w:t xml:space="preserve">2019 </w:t>
      </w:r>
      <w:r>
        <w:rPr>
          <w:rFonts w:hint="eastAsia" w:ascii="微软雅黑" w:hAnsi="微软雅黑" w:eastAsia="微软雅黑" w:cs="微软雅黑"/>
          <w:bCs/>
          <w:szCs w:val="21"/>
        </w:rPr>
        <w:t xml:space="preserve">年 第 </w:t>
      </w:r>
      <w:r>
        <w:rPr>
          <w:rFonts w:ascii="微软雅黑" w:hAnsi="微软雅黑" w:eastAsia="微软雅黑" w:cs="微软雅黑"/>
          <w:bCs/>
          <w:szCs w:val="21"/>
        </w:rPr>
        <w:t xml:space="preserve">28 </w:t>
      </w:r>
      <w:r>
        <w:rPr>
          <w:rFonts w:hint="eastAsia" w:ascii="微软雅黑" w:hAnsi="微软雅黑" w:eastAsia="微软雅黑" w:cs="微软雅黑"/>
          <w:bCs/>
          <w:szCs w:val="21"/>
        </w:rPr>
        <w:t>号），共公司使用的原辅材料、污染物排放因子不涉及名录中有毒有害因子。</w:t>
      </w:r>
    </w:p>
    <w:p>
      <w:pPr>
        <w:pStyle w:val="4"/>
        <w:spacing w:before="0" w:after="0" w:line="360" w:lineRule="auto"/>
        <w:ind w:firstLine="420" w:firstLineChars="200"/>
        <w:rPr>
          <w:rFonts w:ascii="微软雅黑" w:hAnsi="微软雅黑" w:eastAsia="微软雅黑" w:cs="微软雅黑"/>
          <w:bCs/>
          <w:sz w:val="21"/>
          <w:szCs w:val="21"/>
        </w:rPr>
      </w:pPr>
      <w:r>
        <w:rPr>
          <w:rFonts w:hint="eastAsia" w:ascii="微软雅黑" w:hAnsi="微软雅黑" w:eastAsia="微软雅黑" w:cs="微软雅黑"/>
          <w:bCs/>
          <w:sz w:val="21"/>
          <w:szCs w:val="21"/>
        </w:rPr>
        <w:t>安阳中盈化肥有限公司2021年度土壤、地下水自行监测结果表明，厂区9个土壤检测结果均符合《土壤环境质量建设用地土壤污染风险管控标准（试 行）》（GB 36600-2018）表1和表2第二类用地筛选值限值要求；地下水</w:t>
      </w:r>
      <w:r>
        <w:rPr>
          <w:rFonts w:hint="eastAsia" w:ascii="微软雅黑" w:hAnsi="微软雅黑" w:eastAsia="微软雅黑" w:cs="微软雅黑"/>
          <w:sz w:val="21"/>
          <w:szCs w:val="21"/>
        </w:rPr>
        <w:t>各污染物浓度均符合《地下水质量标准》（GB/T14848-2017） III类 标准限值要求。公司</w:t>
      </w:r>
      <w:r>
        <w:rPr>
          <w:rFonts w:hint="eastAsia" w:ascii="微软雅黑" w:hAnsi="微软雅黑" w:eastAsia="微软雅黑" w:cs="微软雅黑"/>
          <w:bCs/>
          <w:sz w:val="21"/>
          <w:szCs w:val="21"/>
        </w:rPr>
        <w:t>“清洁生产”水平达到国内一级生产水平，严格执行国家标准。对生产中排放的各类污染物，本着减量、回收利用和妥善处理的原则，最大限度控制污染物的最终排放量，无排放优先控制化学品名录的物质。</w:t>
      </w:r>
      <w:r>
        <w:rPr>
          <w:rFonts w:hint="eastAsia" w:ascii="微软雅黑" w:hAnsi="微软雅黑" w:eastAsia="微软雅黑" w:cs="微软雅黑"/>
          <w:sz w:val="21"/>
          <w:szCs w:val="21"/>
        </w:rPr>
        <w:t>公司废水、废气、危废污染然物质排放均满足相关要求，无超标情况。</w:t>
      </w:r>
    </w:p>
    <w:p>
      <w:pPr>
        <w:pStyle w:val="7"/>
      </w:pPr>
      <w:bookmarkStart w:id="57" w:name="_Toc8230"/>
      <w:r>
        <w:rPr>
          <w:rFonts w:hint="eastAsia"/>
        </w:rPr>
        <w:t>附图1：厂区平面布置图</w:t>
      </w:r>
      <w:bookmarkEnd w:id="57"/>
    </w:p>
    <w:p>
      <w:pPr>
        <w:spacing w:line="276" w:lineRule="auto"/>
        <w:ind w:firstLine="440" w:firstLineChars="200"/>
        <w:sectPr>
          <w:headerReference r:id="rId6" w:type="default"/>
          <w:footerReference r:id="rId7" w:type="default"/>
          <w:pgSz w:w="11906" w:h="16838"/>
          <w:pgMar w:top="1418" w:right="1021" w:bottom="1418" w:left="1021" w:header="1134" w:footer="454" w:gutter="0"/>
          <w:cols w:space="425" w:num="1"/>
          <w:docGrid w:type="lines" w:linePitch="312" w:charSpace="0"/>
        </w:sectPr>
      </w:pPr>
      <w:r>
        <w:rPr>
          <w:rFonts w:ascii="微软雅黑" w:hAnsi="微软雅黑" w:eastAsia="微软雅黑" w:cs="微软雅黑"/>
          <w:bCs/>
          <w:sz w:val="22"/>
          <w:szCs w:val="22"/>
        </w:rPr>
        <w:drawing>
          <wp:inline distT="0" distB="0" distL="114300" distR="114300">
            <wp:extent cx="5523865" cy="7813040"/>
            <wp:effectExtent l="0" t="0" r="635" b="16510"/>
            <wp:docPr id="12" name="图片 12" descr="1.1.4-1厂区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4-1厂区平面图"/>
                    <pic:cNvPicPr>
                      <a:picLocks noChangeAspect="1"/>
                    </pic:cNvPicPr>
                  </pic:nvPicPr>
                  <pic:blipFill>
                    <a:blip r:embed="rId37"/>
                    <a:stretch>
                      <a:fillRect/>
                    </a:stretch>
                  </pic:blipFill>
                  <pic:spPr>
                    <a:xfrm>
                      <a:off x="0" y="0"/>
                      <a:ext cx="5523865" cy="7813040"/>
                    </a:xfrm>
                    <a:prstGeom prst="rect">
                      <a:avLst/>
                    </a:prstGeom>
                  </pic:spPr>
                </pic:pic>
              </a:graphicData>
            </a:graphic>
          </wp:inline>
        </w:drawing>
      </w:r>
    </w:p>
    <w:p>
      <w:pPr>
        <w:pStyle w:val="7"/>
      </w:pPr>
      <w:r>
        <w:rPr>
          <w:rFonts w:hint="eastAsia"/>
        </w:rPr>
        <w:t xml:space="preserve"> </w:t>
      </w:r>
    </w:p>
    <w:p>
      <w:pPr>
        <w:pStyle w:val="7"/>
        <w:sectPr>
          <w:pgSz w:w="16838" w:h="11906" w:orient="landscape"/>
          <w:pgMar w:top="1020" w:right="1418" w:bottom="1020" w:left="1418" w:header="1134" w:footer="454" w:gutter="0"/>
          <w:cols w:space="0" w:num="1"/>
          <w:docGrid w:type="lines" w:linePitch="318" w:charSpace="0"/>
        </w:sectPr>
      </w:pPr>
    </w:p>
    <w:p>
      <w:pPr>
        <w:pStyle w:val="3"/>
      </w:pPr>
    </w:p>
    <w:sectPr>
      <w:pgSz w:w="16838" w:h="11906" w:orient="landscape"/>
      <w:pgMar w:top="1020" w:right="1418" w:bottom="1020" w:left="1418" w:header="1134" w:footer="454"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新魏">
    <w:panose1 w:val="02010800040101010101"/>
    <w:charset w:val="86"/>
    <w:family w:val="auto"/>
    <w:pitch w:val="default"/>
    <w:sig w:usb0="00000001" w:usb1="080F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eastAsia="宋体"/>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3"/>
                      <w:rPr>
                        <w:rFonts w:eastAsia="宋体"/>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ordWrap w:val="0"/>
      <w:ind w:right="540"/>
      <w:jc w:val="right"/>
      <w:rPr>
        <w:rFonts w:ascii="华文细黑" w:hAnsi="华文细黑" w:eastAsia="华文细黑"/>
        <w:sz w:val="13"/>
        <w:szCs w:val="15"/>
      </w:rPr>
    </w:pPr>
    <w:r>
      <w:rPr>
        <w:sz w:val="13"/>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3"/>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drawing>
        <wp:anchor distT="0" distB="0" distL="114300" distR="114300" simplePos="0" relativeHeight="251665408" behindDoc="1" locked="0" layoutInCell="1" allowOverlap="1">
          <wp:simplePos x="0" y="0"/>
          <wp:positionH relativeFrom="column">
            <wp:posOffset>-349885</wp:posOffset>
          </wp:positionH>
          <wp:positionV relativeFrom="paragraph">
            <wp:posOffset>-452755</wp:posOffset>
          </wp:positionV>
          <wp:extent cx="6477635" cy="914400"/>
          <wp:effectExtent l="0" t="0" r="18415" b="0"/>
          <wp:wrapNone/>
          <wp:docPr id="10" name="图片 10"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微软雅黑" w:hAnsi="微软雅黑" w:eastAsia="微软雅黑" w:cs="宋体"/>
        <w:sz w:val="12"/>
        <w:szCs w:val="12"/>
      </w:rPr>
    </w:pPr>
    <w:r>
      <mc:AlternateContent>
        <mc:Choice Requires="wps">
          <w:drawing>
            <wp:anchor distT="0" distB="0" distL="114300" distR="114300" simplePos="0" relativeHeight="251661312" behindDoc="0" locked="0" layoutInCell="1" allowOverlap="1">
              <wp:simplePos x="0" y="0"/>
              <wp:positionH relativeFrom="column">
                <wp:posOffset>142240</wp:posOffset>
              </wp:positionH>
              <wp:positionV relativeFrom="paragraph">
                <wp:posOffset>-358140</wp:posOffset>
              </wp:positionV>
              <wp:extent cx="1981200" cy="5334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1981200" cy="533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2pt;margin-top:-28.2pt;height:42pt;width:156pt;z-index:251661312;mso-width-relative:page;mso-height-relative:page;" fillcolor="#FFFFFF" filled="t" stroked="f" coordsize="21600,21600" o:gfxdata="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i8Vo1wAAAAkBAAAP&#10;AAAAAAAAAAEAIAAAACIAAABkcnMvZG93bnJldi54bWxQSwECFAAUAAAACACHTuJA78ksCBkCAAAm&#10;BAAADgAAAAAAAAABACAAAAAmAQAAZHJzL2Uyb0RvYy54bWxQSwUGAAAAAAYABgBZAQAAsQUAAAAA&#10;">
              <v:fill on="t" focussize="0,0"/>
              <v:stroke on="f"/>
              <v:imagedata o:title=""/>
              <o:lock v:ext="edit" aspectratio="f"/>
            </v:rect>
          </w:pict>
        </mc:Fallback>
      </mc:AlternateContent>
    </w:r>
    <w:r>
      <w:drawing>
        <wp:anchor distT="0" distB="0" distL="114300" distR="114300" simplePos="0" relativeHeight="251659264" behindDoc="1" locked="0" layoutInCell="1" allowOverlap="1">
          <wp:simplePos x="0" y="0"/>
          <wp:positionH relativeFrom="column">
            <wp:posOffset>5080</wp:posOffset>
          </wp:positionH>
          <wp:positionV relativeFrom="paragraph">
            <wp:posOffset>-631190</wp:posOffset>
          </wp:positionV>
          <wp:extent cx="6477635" cy="914400"/>
          <wp:effectExtent l="0" t="0" r="0" b="0"/>
          <wp:wrapNone/>
          <wp:docPr id="7" name="图片 7" descr="B应用系统-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应用系统-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635" cy="914400"/>
                  </a:xfrm>
                  <a:prstGeom prst="rect">
                    <a:avLst/>
                  </a:prstGeom>
                  <a:noFill/>
                  <a:ln>
                    <a:noFill/>
                  </a:ln>
                </pic:spPr>
              </pic:pic>
            </a:graphicData>
          </a:graphic>
        </wp:anchor>
      </w:drawing>
    </w:r>
  </w:p>
  <w:p>
    <w:pPr>
      <w:spacing w:line="140" w:lineRule="atLeast"/>
      <w:rPr>
        <w:rFonts w:ascii="微软雅黑" w:hAnsi="微软雅黑" w:eastAsia="微软雅黑" w:cs="宋体"/>
        <w:sz w:val="12"/>
        <w:szCs w:val="12"/>
      </w:rPr>
    </w:pPr>
  </w:p>
  <w:p>
    <w:pPr>
      <w:rPr>
        <w:rFonts w:ascii="微软雅黑" w:hAnsi="微软雅黑" w:eastAsia="微软雅黑" w:cs="宋体"/>
        <w:sz w:val="12"/>
        <w:szCs w:val="1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05"/>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lZTU4MDI2OWZhMmMzYzFhZjE1NWU4Y2M1NDg2MmIifQ=="/>
  </w:docVars>
  <w:rsids>
    <w:rsidRoot w:val="003B137F"/>
    <w:rsid w:val="000000D0"/>
    <w:rsid w:val="000075E0"/>
    <w:rsid w:val="000116D0"/>
    <w:rsid w:val="00047406"/>
    <w:rsid w:val="00047A1C"/>
    <w:rsid w:val="00061BD0"/>
    <w:rsid w:val="0007246D"/>
    <w:rsid w:val="00076BEE"/>
    <w:rsid w:val="0007784B"/>
    <w:rsid w:val="00081896"/>
    <w:rsid w:val="00085B65"/>
    <w:rsid w:val="0009122A"/>
    <w:rsid w:val="000959A0"/>
    <w:rsid w:val="000959A9"/>
    <w:rsid w:val="000A1193"/>
    <w:rsid w:val="000A2637"/>
    <w:rsid w:val="000C2CA1"/>
    <w:rsid w:val="000C3596"/>
    <w:rsid w:val="000D0AEB"/>
    <w:rsid w:val="000D7E30"/>
    <w:rsid w:val="000E466B"/>
    <w:rsid w:val="000F4522"/>
    <w:rsid w:val="000F7469"/>
    <w:rsid w:val="00100A70"/>
    <w:rsid w:val="001049B6"/>
    <w:rsid w:val="001163AF"/>
    <w:rsid w:val="00116695"/>
    <w:rsid w:val="001216F4"/>
    <w:rsid w:val="001265FF"/>
    <w:rsid w:val="0013592B"/>
    <w:rsid w:val="001371DC"/>
    <w:rsid w:val="001374BF"/>
    <w:rsid w:val="00137BF1"/>
    <w:rsid w:val="0014434D"/>
    <w:rsid w:val="001601AA"/>
    <w:rsid w:val="00166A26"/>
    <w:rsid w:val="00175BFC"/>
    <w:rsid w:val="001809DB"/>
    <w:rsid w:val="001937AC"/>
    <w:rsid w:val="0019563D"/>
    <w:rsid w:val="001B34BF"/>
    <w:rsid w:val="001B419E"/>
    <w:rsid w:val="001C171D"/>
    <w:rsid w:val="001D5E8D"/>
    <w:rsid w:val="001E0E9D"/>
    <w:rsid w:val="001E122B"/>
    <w:rsid w:val="001E13C3"/>
    <w:rsid w:val="001F3B29"/>
    <w:rsid w:val="001F6155"/>
    <w:rsid w:val="00211278"/>
    <w:rsid w:val="00213542"/>
    <w:rsid w:val="00214015"/>
    <w:rsid w:val="00221769"/>
    <w:rsid w:val="00225C88"/>
    <w:rsid w:val="00226377"/>
    <w:rsid w:val="00231E30"/>
    <w:rsid w:val="0025035C"/>
    <w:rsid w:val="00264306"/>
    <w:rsid w:val="00267B1D"/>
    <w:rsid w:val="00274A1D"/>
    <w:rsid w:val="00275C93"/>
    <w:rsid w:val="0027762C"/>
    <w:rsid w:val="002879BF"/>
    <w:rsid w:val="00290AC9"/>
    <w:rsid w:val="002B56AF"/>
    <w:rsid w:val="002D32AE"/>
    <w:rsid w:val="002D3CDD"/>
    <w:rsid w:val="002E5B0E"/>
    <w:rsid w:val="003024A6"/>
    <w:rsid w:val="00305A90"/>
    <w:rsid w:val="0031642A"/>
    <w:rsid w:val="00350026"/>
    <w:rsid w:val="00352E26"/>
    <w:rsid w:val="003579D1"/>
    <w:rsid w:val="00370A85"/>
    <w:rsid w:val="00394C22"/>
    <w:rsid w:val="003A7F88"/>
    <w:rsid w:val="003B137F"/>
    <w:rsid w:val="003B18D6"/>
    <w:rsid w:val="003C25D3"/>
    <w:rsid w:val="003C2D47"/>
    <w:rsid w:val="003D03BE"/>
    <w:rsid w:val="003D121B"/>
    <w:rsid w:val="003D3AA7"/>
    <w:rsid w:val="003F1A78"/>
    <w:rsid w:val="003F2A3B"/>
    <w:rsid w:val="003F3153"/>
    <w:rsid w:val="004035B0"/>
    <w:rsid w:val="00403EBC"/>
    <w:rsid w:val="00414A1F"/>
    <w:rsid w:val="00425B37"/>
    <w:rsid w:val="00425FF8"/>
    <w:rsid w:val="00454839"/>
    <w:rsid w:val="004549F0"/>
    <w:rsid w:val="0045786D"/>
    <w:rsid w:val="00461C68"/>
    <w:rsid w:val="0048498B"/>
    <w:rsid w:val="004905DC"/>
    <w:rsid w:val="00490CC1"/>
    <w:rsid w:val="004973C3"/>
    <w:rsid w:val="004B4B9F"/>
    <w:rsid w:val="004C5F74"/>
    <w:rsid w:val="004D1781"/>
    <w:rsid w:val="004D5AF4"/>
    <w:rsid w:val="004F5CA8"/>
    <w:rsid w:val="004F61DF"/>
    <w:rsid w:val="00500042"/>
    <w:rsid w:val="00507DD1"/>
    <w:rsid w:val="00513434"/>
    <w:rsid w:val="00520072"/>
    <w:rsid w:val="00522EF7"/>
    <w:rsid w:val="00530DB2"/>
    <w:rsid w:val="00532B47"/>
    <w:rsid w:val="00534C93"/>
    <w:rsid w:val="00551022"/>
    <w:rsid w:val="00552A89"/>
    <w:rsid w:val="00564D25"/>
    <w:rsid w:val="00585576"/>
    <w:rsid w:val="00585C3C"/>
    <w:rsid w:val="00597D6C"/>
    <w:rsid w:val="005A12B7"/>
    <w:rsid w:val="005E4BC1"/>
    <w:rsid w:val="005F0192"/>
    <w:rsid w:val="00600427"/>
    <w:rsid w:val="0060303B"/>
    <w:rsid w:val="00604EBB"/>
    <w:rsid w:val="00605BA4"/>
    <w:rsid w:val="00615EE7"/>
    <w:rsid w:val="00643EA6"/>
    <w:rsid w:val="006446E3"/>
    <w:rsid w:val="00646F50"/>
    <w:rsid w:val="0065179B"/>
    <w:rsid w:val="00667A57"/>
    <w:rsid w:val="0067339E"/>
    <w:rsid w:val="006776EC"/>
    <w:rsid w:val="00681C83"/>
    <w:rsid w:val="006A381A"/>
    <w:rsid w:val="006A4EB2"/>
    <w:rsid w:val="006B33F4"/>
    <w:rsid w:val="006B513A"/>
    <w:rsid w:val="006C6540"/>
    <w:rsid w:val="006D55C6"/>
    <w:rsid w:val="006D652B"/>
    <w:rsid w:val="006E6E86"/>
    <w:rsid w:val="00715545"/>
    <w:rsid w:val="007227DC"/>
    <w:rsid w:val="00724C44"/>
    <w:rsid w:val="00726B21"/>
    <w:rsid w:val="0073378C"/>
    <w:rsid w:val="00744214"/>
    <w:rsid w:val="00760DD7"/>
    <w:rsid w:val="00761F13"/>
    <w:rsid w:val="00764EEE"/>
    <w:rsid w:val="0078301E"/>
    <w:rsid w:val="00783568"/>
    <w:rsid w:val="00787F52"/>
    <w:rsid w:val="007977EC"/>
    <w:rsid w:val="00797C8F"/>
    <w:rsid w:val="007A137B"/>
    <w:rsid w:val="007A6525"/>
    <w:rsid w:val="007B7D1E"/>
    <w:rsid w:val="007C0CC7"/>
    <w:rsid w:val="007C1882"/>
    <w:rsid w:val="007C3772"/>
    <w:rsid w:val="007C625A"/>
    <w:rsid w:val="007D7AA9"/>
    <w:rsid w:val="007F3D7F"/>
    <w:rsid w:val="007F4549"/>
    <w:rsid w:val="007F4C3D"/>
    <w:rsid w:val="00800826"/>
    <w:rsid w:val="00803CCA"/>
    <w:rsid w:val="00812C34"/>
    <w:rsid w:val="0081364B"/>
    <w:rsid w:val="0084057B"/>
    <w:rsid w:val="00845B53"/>
    <w:rsid w:val="0085031E"/>
    <w:rsid w:val="008615E4"/>
    <w:rsid w:val="008650C4"/>
    <w:rsid w:val="00870FE2"/>
    <w:rsid w:val="008710D4"/>
    <w:rsid w:val="00873FE6"/>
    <w:rsid w:val="00884103"/>
    <w:rsid w:val="00887EDE"/>
    <w:rsid w:val="008971B7"/>
    <w:rsid w:val="008A51E8"/>
    <w:rsid w:val="008D3145"/>
    <w:rsid w:val="008D4193"/>
    <w:rsid w:val="008E5228"/>
    <w:rsid w:val="00954CDB"/>
    <w:rsid w:val="00960F0D"/>
    <w:rsid w:val="00971AE1"/>
    <w:rsid w:val="009740CD"/>
    <w:rsid w:val="00980B52"/>
    <w:rsid w:val="009828DB"/>
    <w:rsid w:val="009A48A9"/>
    <w:rsid w:val="009A603C"/>
    <w:rsid w:val="009C50CF"/>
    <w:rsid w:val="009C7326"/>
    <w:rsid w:val="009E5A2B"/>
    <w:rsid w:val="009F08A1"/>
    <w:rsid w:val="009F29AA"/>
    <w:rsid w:val="009F6C7F"/>
    <w:rsid w:val="00A1040E"/>
    <w:rsid w:val="00A40BC8"/>
    <w:rsid w:val="00A4653A"/>
    <w:rsid w:val="00A51957"/>
    <w:rsid w:val="00A93ACE"/>
    <w:rsid w:val="00A947A9"/>
    <w:rsid w:val="00A953AE"/>
    <w:rsid w:val="00AD7340"/>
    <w:rsid w:val="00AE5474"/>
    <w:rsid w:val="00AF49DE"/>
    <w:rsid w:val="00B13C99"/>
    <w:rsid w:val="00B17445"/>
    <w:rsid w:val="00B2321F"/>
    <w:rsid w:val="00B24CFC"/>
    <w:rsid w:val="00B2596B"/>
    <w:rsid w:val="00B30238"/>
    <w:rsid w:val="00B34F7E"/>
    <w:rsid w:val="00B4266E"/>
    <w:rsid w:val="00B53927"/>
    <w:rsid w:val="00B66F68"/>
    <w:rsid w:val="00B70D4D"/>
    <w:rsid w:val="00B71270"/>
    <w:rsid w:val="00B75968"/>
    <w:rsid w:val="00B7638E"/>
    <w:rsid w:val="00B76437"/>
    <w:rsid w:val="00B77C2B"/>
    <w:rsid w:val="00B8081F"/>
    <w:rsid w:val="00B9063C"/>
    <w:rsid w:val="00B93852"/>
    <w:rsid w:val="00B94239"/>
    <w:rsid w:val="00B94C4A"/>
    <w:rsid w:val="00BA3983"/>
    <w:rsid w:val="00BC4528"/>
    <w:rsid w:val="00BC47A6"/>
    <w:rsid w:val="00BE06C2"/>
    <w:rsid w:val="00BE4F1A"/>
    <w:rsid w:val="00BE7AE4"/>
    <w:rsid w:val="00C04B5E"/>
    <w:rsid w:val="00C07044"/>
    <w:rsid w:val="00C11145"/>
    <w:rsid w:val="00C20F17"/>
    <w:rsid w:val="00C236CC"/>
    <w:rsid w:val="00C31362"/>
    <w:rsid w:val="00C3313C"/>
    <w:rsid w:val="00C402DC"/>
    <w:rsid w:val="00C40431"/>
    <w:rsid w:val="00C627A5"/>
    <w:rsid w:val="00C7317E"/>
    <w:rsid w:val="00C9718C"/>
    <w:rsid w:val="00CA4EB1"/>
    <w:rsid w:val="00CB4FF5"/>
    <w:rsid w:val="00CB580D"/>
    <w:rsid w:val="00CD71AD"/>
    <w:rsid w:val="00CE4DFC"/>
    <w:rsid w:val="00D056F8"/>
    <w:rsid w:val="00D127AE"/>
    <w:rsid w:val="00D1645C"/>
    <w:rsid w:val="00D243ED"/>
    <w:rsid w:val="00D36EB9"/>
    <w:rsid w:val="00D45B27"/>
    <w:rsid w:val="00D51CA2"/>
    <w:rsid w:val="00D63457"/>
    <w:rsid w:val="00D63532"/>
    <w:rsid w:val="00D6501B"/>
    <w:rsid w:val="00D6755E"/>
    <w:rsid w:val="00D75B69"/>
    <w:rsid w:val="00D86E45"/>
    <w:rsid w:val="00D92B18"/>
    <w:rsid w:val="00DA509A"/>
    <w:rsid w:val="00DA5319"/>
    <w:rsid w:val="00DC6341"/>
    <w:rsid w:val="00DC641B"/>
    <w:rsid w:val="00DD7C93"/>
    <w:rsid w:val="00DF3F12"/>
    <w:rsid w:val="00DF4449"/>
    <w:rsid w:val="00E0627A"/>
    <w:rsid w:val="00E06D4F"/>
    <w:rsid w:val="00E30260"/>
    <w:rsid w:val="00E32067"/>
    <w:rsid w:val="00E34CFA"/>
    <w:rsid w:val="00E46AAE"/>
    <w:rsid w:val="00E47337"/>
    <w:rsid w:val="00E60DDD"/>
    <w:rsid w:val="00E626FC"/>
    <w:rsid w:val="00E71D5E"/>
    <w:rsid w:val="00E85F18"/>
    <w:rsid w:val="00E91D78"/>
    <w:rsid w:val="00E9610F"/>
    <w:rsid w:val="00E97188"/>
    <w:rsid w:val="00EA0449"/>
    <w:rsid w:val="00EA22D5"/>
    <w:rsid w:val="00EB1D42"/>
    <w:rsid w:val="00EB5765"/>
    <w:rsid w:val="00EC01C5"/>
    <w:rsid w:val="00EC1E46"/>
    <w:rsid w:val="00EE1A8B"/>
    <w:rsid w:val="00EE35A5"/>
    <w:rsid w:val="00EE5FCF"/>
    <w:rsid w:val="00EF0E53"/>
    <w:rsid w:val="00F0179A"/>
    <w:rsid w:val="00F044B3"/>
    <w:rsid w:val="00F070C5"/>
    <w:rsid w:val="00F10328"/>
    <w:rsid w:val="00F10543"/>
    <w:rsid w:val="00F16246"/>
    <w:rsid w:val="00F2043A"/>
    <w:rsid w:val="00F244F0"/>
    <w:rsid w:val="00F31008"/>
    <w:rsid w:val="00F36960"/>
    <w:rsid w:val="00F40347"/>
    <w:rsid w:val="00F46BC8"/>
    <w:rsid w:val="00F46DF5"/>
    <w:rsid w:val="00F573FE"/>
    <w:rsid w:val="00F77ED8"/>
    <w:rsid w:val="00F8483F"/>
    <w:rsid w:val="00F868DA"/>
    <w:rsid w:val="00F922E4"/>
    <w:rsid w:val="00FB5D1C"/>
    <w:rsid w:val="00FD4C68"/>
    <w:rsid w:val="00FF56CC"/>
    <w:rsid w:val="00FF5C50"/>
    <w:rsid w:val="01FD4492"/>
    <w:rsid w:val="047D4377"/>
    <w:rsid w:val="04FA3B1A"/>
    <w:rsid w:val="05583F39"/>
    <w:rsid w:val="081952DE"/>
    <w:rsid w:val="0A5847B8"/>
    <w:rsid w:val="0C2764FF"/>
    <w:rsid w:val="0C286F6A"/>
    <w:rsid w:val="0DC7437D"/>
    <w:rsid w:val="0F6E4136"/>
    <w:rsid w:val="11E701D0"/>
    <w:rsid w:val="149F4D92"/>
    <w:rsid w:val="14D7277E"/>
    <w:rsid w:val="190E24E6"/>
    <w:rsid w:val="19273811"/>
    <w:rsid w:val="19F449F6"/>
    <w:rsid w:val="1B943177"/>
    <w:rsid w:val="1F154658"/>
    <w:rsid w:val="1F5842FB"/>
    <w:rsid w:val="202F16C0"/>
    <w:rsid w:val="2051087E"/>
    <w:rsid w:val="2233436B"/>
    <w:rsid w:val="264F51B8"/>
    <w:rsid w:val="26D47BBF"/>
    <w:rsid w:val="290F0873"/>
    <w:rsid w:val="2CF47FC1"/>
    <w:rsid w:val="2D0B3A39"/>
    <w:rsid w:val="2D780F0E"/>
    <w:rsid w:val="32576B8E"/>
    <w:rsid w:val="334340F5"/>
    <w:rsid w:val="33C449C7"/>
    <w:rsid w:val="35CB3D4C"/>
    <w:rsid w:val="38CD4788"/>
    <w:rsid w:val="3A974211"/>
    <w:rsid w:val="3C4A53EA"/>
    <w:rsid w:val="3D43157A"/>
    <w:rsid w:val="3E285C74"/>
    <w:rsid w:val="3EED2BFF"/>
    <w:rsid w:val="3F32667F"/>
    <w:rsid w:val="400E2C48"/>
    <w:rsid w:val="449F47B6"/>
    <w:rsid w:val="45997458"/>
    <w:rsid w:val="470F3D1C"/>
    <w:rsid w:val="47615D53"/>
    <w:rsid w:val="49876379"/>
    <w:rsid w:val="4DE32AD2"/>
    <w:rsid w:val="4E5C7274"/>
    <w:rsid w:val="50031790"/>
    <w:rsid w:val="5049236A"/>
    <w:rsid w:val="52B046A5"/>
    <w:rsid w:val="53863303"/>
    <w:rsid w:val="53F6441E"/>
    <w:rsid w:val="55915A56"/>
    <w:rsid w:val="5756765C"/>
    <w:rsid w:val="57CE6EE8"/>
    <w:rsid w:val="59CF27A9"/>
    <w:rsid w:val="5A27036D"/>
    <w:rsid w:val="5DB723C2"/>
    <w:rsid w:val="5F7D2CA7"/>
    <w:rsid w:val="6010448B"/>
    <w:rsid w:val="611C2BC3"/>
    <w:rsid w:val="61AB043B"/>
    <w:rsid w:val="62A50D92"/>
    <w:rsid w:val="63AE011A"/>
    <w:rsid w:val="64194563"/>
    <w:rsid w:val="67AA0FCD"/>
    <w:rsid w:val="69715C3D"/>
    <w:rsid w:val="6B367AA7"/>
    <w:rsid w:val="6C81461E"/>
    <w:rsid w:val="6C9518A9"/>
    <w:rsid w:val="6CAD5413"/>
    <w:rsid w:val="6DEA0416"/>
    <w:rsid w:val="71F84E54"/>
    <w:rsid w:val="72B22D88"/>
    <w:rsid w:val="744523D5"/>
    <w:rsid w:val="753D1855"/>
    <w:rsid w:val="75E654F2"/>
    <w:rsid w:val="761A4EC4"/>
    <w:rsid w:val="766907B4"/>
    <w:rsid w:val="76830F93"/>
    <w:rsid w:val="771E7F19"/>
    <w:rsid w:val="772838A4"/>
    <w:rsid w:val="78A31478"/>
    <w:rsid w:val="78B922AF"/>
    <w:rsid w:val="78DC5E7E"/>
    <w:rsid w:val="7A39259C"/>
    <w:rsid w:val="7AE25E5C"/>
    <w:rsid w:val="7BDD17B9"/>
    <w:rsid w:val="7C154A50"/>
    <w:rsid w:val="7D35752F"/>
    <w:rsid w:val="7D9C41FA"/>
    <w:rsid w:val="7E3F7E95"/>
    <w:rsid w:val="7F275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1"/>
    <w:basedOn w:val="1"/>
    <w:next w:val="1"/>
    <w:qFormat/>
    <w:uiPriority w:val="0"/>
    <w:pPr>
      <w:keepNext/>
      <w:keepLines/>
      <w:spacing w:before="10" w:after="10" w:line="276" w:lineRule="auto"/>
      <w:outlineLvl w:val="0"/>
    </w:pPr>
    <w:rPr>
      <w:rFonts w:eastAsia="微软雅黑"/>
      <w:b/>
      <w:kern w:val="44"/>
      <w:sz w:val="28"/>
    </w:rPr>
  </w:style>
  <w:style w:type="paragraph" w:styleId="7">
    <w:name w:val="heading 2"/>
    <w:basedOn w:val="1"/>
    <w:next w:val="1"/>
    <w:qFormat/>
    <w:uiPriority w:val="0"/>
    <w:pPr>
      <w:keepNext/>
      <w:keepLines/>
      <w:spacing w:before="10" w:after="10" w:line="276" w:lineRule="auto"/>
      <w:outlineLvl w:val="1"/>
    </w:pPr>
    <w:rPr>
      <w:rFonts w:ascii="Cambria" w:hAnsi="Cambria" w:eastAsia="微软雅黑"/>
      <w:b/>
      <w:bCs/>
      <w:sz w:val="24"/>
      <w:szCs w:val="32"/>
    </w:rPr>
  </w:style>
  <w:style w:type="paragraph" w:styleId="8">
    <w:name w:val="heading 3"/>
    <w:basedOn w:val="1"/>
    <w:next w:val="1"/>
    <w:qFormat/>
    <w:uiPriority w:val="9"/>
    <w:pPr>
      <w:keepNext/>
      <w:keepLines/>
      <w:spacing w:before="260" w:after="260" w:line="416" w:lineRule="auto"/>
      <w:outlineLvl w:val="2"/>
    </w:pPr>
    <w:rPr>
      <w:b/>
      <w:bCs/>
      <w:sz w:val="28"/>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3"/>
    <w:qFormat/>
    <w:uiPriority w:val="0"/>
    <w:pPr>
      <w:spacing w:after="120"/>
      <w:ind w:left="1440" w:leftChars="700" w:right="1440" w:rightChars="700"/>
    </w:pPr>
  </w:style>
  <w:style w:type="paragraph" w:styleId="3">
    <w:name w:val="Body Text"/>
    <w:basedOn w:val="1"/>
    <w:next w:val="4"/>
    <w:link w:val="54"/>
    <w:qFormat/>
    <w:uiPriority w:val="0"/>
    <w:pPr>
      <w:spacing w:after="120"/>
    </w:pPr>
    <w:rPr>
      <w:rFonts w:ascii="Calibri" w:hAnsi="Calibri"/>
      <w:szCs w:val="22"/>
    </w:rPr>
  </w:style>
  <w:style w:type="paragraph" w:customStyle="1" w:styleId="4">
    <w:name w:val="style4"/>
    <w:basedOn w:val="1"/>
    <w:next w:val="5"/>
    <w:qFormat/>
    <w:uiPriority w:val="0"/>
    <w:pPr>
      <w:widowControl/>
      <w:spacing w:before="280" w:after="280"/>
    </w:pPr>
    <w:rPr>
      <w:rFonts w:ascii="宋体"/>
      <w:sz w:val="18"/>
    </w:rPr>
  </w:style>
  <w:style w:type="paragraph" w:customStyle="1" w:styleId="5">
    <w:name w:val="2"/>
    <w:next w:val="1"/>
    <w:qFormat/>
    <w:uiPriority w:val="0"/>
    <w:pPr>
      <w:widowControl w:val="0"/>
      <w:jc w:val="both"/>
    </w:pPr>
    <w:rPr>
      <w:rFonts w:ascii="Calibri" w:hAnsi="Calibri" w:eastAsia="宋体" w:cs="Times New Roman"/>
      <w:sz w:val="21"/>
      <w:szCs w:val="22"/>
      <w:lang w:val="en-US" w:eastAsia="zh-CN" w:bidi="ar-SA"/>
    </w:rPr>
  </w:style>
  <w:style w:type="paragraph" w:styleId="9">
    <w:name w:val="Normal Indent"/>
    <w:basedOn w:val="1"/>
    <w:qFormat/>
    <w:uiPriority w:val="0"/>
    <w:pPr>
      <w:adjustRightInd w:val="0"/>
      <w:snapToGrid w:val="0"/>
      <w:spacing w:line="300" w:lineRule="auto"/>
      <w:ind w:firstLine="200" w:firstLineChars="200"/>
    </w:pPr>
    <w:rPr>
      <w:rFonts w:ascii="华文新魏" w:eastAsia="华文新魏"/>
      <w:sz w:val="28"/>
    </w:rPr>
  </w:style>
  <w:style w:type="paragraph" w:styleId="10">
    <w:name w:val="annotation text"/>
    <w:basedOn w:val="1"/>
    <w:link w:val="47"/>
    <w:unhideWhenUsed/>
    <w:qFormat/>
    <w:uiPriority w:val="99"/>
    <w:pPr>
      <w:jc w:val="left"/>
    </w:pPr>
  </w:style>
  <w:style w:type="paragraph" w:styleId="11">
    <w:name w:val="Plain Text"/>
    <w:basedOn w:val="1"/>
    <w:qFormat/>
    <w:uiPriority w:val="0"/>
    <w:rPr>
      <w:rFonts w:ascii="宋体" w:hAnsi="Courier New" w:cs="Courier New"/>
      <w:szCs w:val="21"/>
    </w:rPr>
  </w:style>
  <w:style w:type="paragraph" w:styleId="12">
    <w:name w:val="Balloon Text"/>
    <w:basedOn w:val="1"/>
    <w:link w:val="37"/>
    <w:unhideWhenUsed/>
    <w:qFormat/>
    <w:uiPriority w:val="99"/>
    <w:rPr>
      <w:sz w:val="18"/>
      <w:szCs w:val="18"/>
    </w:rPr>
  </w:style>
  <w:style w:type="paragraph" w:styleId="13">
    <w:name w:val="footer"/>
    <w:basedOn w:val="1"/>
    <w:link w:val="3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qFormat/>
    <w:uiPriority w:val="39"/>
    <w:pPr>
      <w:tabs>
        <w:tab w:val="right" w:leader="dot" w:pos="8720"/>
      </w:tabs>
      <w:snapToGrid w:val="0"/>
      <w:spacing w:line="500" w:lineRule="exact"/>
    </w:pPr>
    <w:rPr>
      <w:rFonts w:ascii="黑体" w:hAnsi="黑体" w:eastAsia="黑体"/>
      <w:sz w:val="24"/>
    </w:rPr>
  </w:style>
  <w:style w:type="paragraph" w:styleId="16">
    <w:name w:val="toc 2"/>
    <w:basedOn w:val="1"/>
    <w:next w:val="1"/>
    <w:qFormat/>
    <w:uiPriority w:val="39"/>
    <w:pPr>
      <w:ind w:left="240"/>
      <w:jc w:val="left"/>
    </w:pPr>
    <w:rPr>
      <w:smallCaps/>
      <w:sz w:val="20"/>
    </w:rPr>
  </w:style>
  <w:style w:type="paragraph" w:styleId="17">
    <w:name w:val="Body Text 2"/>
    <w:basedOn w:val="1"/>
    <w:link w:val="55"/>
    <w:qFormat/>
    <w:uiPriority w:val="0"/>
    <w:rPr>
      <w:rFonts w:ascii="宋体" w:hAnsi="宋体"/>
      <w:color w:val="000000"/>
      <w:sz w:val="24"/>
      <w:szCs w:val="24"/>
    </w:rPr>
  </w:style>
  <w:style w:type="paragraph" w:styleId="1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szCs w:val="24"/>
    </w:rPr>
  </w:style>
  <w:style w:type="paragraph" w:styleId="19">
    <w:name w:val="annotation subject"/>
    <w:basedOn w:val="10"/>
    <w:next w:val="10"/>
    <w:link w:val="48"/>
    <w:unhideWhenUsed/>
    <w:qFormat/>
    <w:uiPriority w:val="99"/>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FollowedHyperlink"/>
    <w:basedOn w:val="22"/>
    <w:unhideWhenUsed/>
    <w:qFormat/>
    <w:uiPriority w:val="99"/>
    <w:rPr>
      <w:color w:val="3F88BF"/>
      <w:u w:val="none"/>
    </w:rPr>
  </w:style>
  <w:style w:type="character" w:styleId="25">
    <w:name w:val="Emphasis"/>
    <w:basedOn w:val="22"/>
    <w:qFormat/>
    <w:uiPriority w:val="20"/>
  </w:style>
  <w:style w:type="character" w:styleId="26">
    <w:name w:val="HTML Definition"/>
    <w:basedOn w:val="22"/>
    <w:unhideWhenUsed/>
    <w:qFormat/>
    <w:uiPriority w:val="99"/>
  </w:style>
  <w:style w:type="character" w:styleId="27">
    <w:name w:val="HTML Variable"/>
    <w:basedOn w:val="22"/>
    <w:unhideWhenUsed/>
    <w:qFormat/>
    <w:uiPriority w:val="99"/>
  </w:style>
  <w:style w:type="character" w:styleId="28">
    <w:name w:val="Hyperlink"/>
    <w:basedOn w:val="22"/>
    <w:unhideWhenUsed/>
    <w:qFormat/>
    <w:uiPriority w:val="99"/>
    <w:rPr>
      <w:color w:val="3F88BF"/>
      <w:u w:val="none"/>
    </w:rPr>
  </w:style>
  <w:style w:type="character" w:styleId="29">
    <w:name w:val="HTML Code"/>
    <w:basedOn w:val="22"/>
    <w:unhideWhenUsed/>
    <w:qFormat/>
    <w:uiPriority w:val="99"/>
    <w:rPr>
      <w:rFonts w:hint="eastAsia" w:ascii="PingFang SC" w:hAnsi="PingFang SC" w:eastAsia="PingFang SC" w:cs="PingFang SC"/>
      <w:sz w:val="20"/>
    </w:rPr>
  </w:style>
  <w:style w:type="character" w:styleId="30">
    <w:name w:val="annotation reference"/>
    <w:basedOn w:val="22"/>
    <w:unhideWhenUsed/>
    <w:qFormat/>
    <w:uiPriority w:val="99"/>
    <w:rPr>
      <w:sz w:val="21"/>
      <w:szCs w:val="21"/>
    </w:rPr>
  </w:style>
  <w:style w:type="character" w:styleId="31">
    <w:name w:val="HTML Cite"/>
    <w:basedOn w:val="22"/>
    <w:unhideWhenUsed/>
    <w:qFormat/>
    <w:uiPriority w:val="99"/>
  </w:style>
  <w:style w:type="character" w:styleId="32">
    <w:name w:val="HTML Keyboard"/>
    <w:basedOn w:val="22"/>
    <w:unhideWhenUsed/>
    <w:qFormat/>
    <w:uiPriority w:val="99"/>
    <w:rPr>
      <w:rFonts w:hint="default" w:ascii="PingFang SC" w:hAnsi="PingFang SC" w:eastAsia="PingFang SC" w:cs="PingFang SC"/>
      <w:sz w:val="20"/>
    </w:rPr>
  </w:style>
  <w:style w:type="character" w:styleId="33">
    <w:name w:val="HTML Sample"/>
    <w:basedOn w:val="22"/>
    <w:unhideWhenUsed/>
    <w:qFormat/>
    <w:uiPriority w:val="99"/>
    <w:rPr>
      <w:rFonts w:hint="default" w:ascii="PingFang SC" w:hAnsi="PingFang SC" w:eastAsia="PingFang SC" w:cs="PingFang SC"/>
    </w:rPr>
  </w:style>
  <w:style w:type="character" w:customStyle="1" w:styleId="34">
    <w:name w:val="页眉 字符"/>
    <w:basedOn w:val="22"/>
    <w:link w:val="14"/>
    <w:qFormat/>
    <w:uiPriority w:val="99"/>
    <w:rPr>
      <w:sz w:val="18"/>
      <w:szCs w:val="18"/>
    </w:rPr>
  </w:style>
  <w:style w:type="character" w:customStyle="1" w:styleId="35">
    <w:name w:val="页脚 字符"/>
    <w:basedOn w:val="22"/>
    <w:link w:val="13"/>
    <w:qFormat/>
    <w:uiPriority w:val="99"/>
    <w:rPr>
      <w:sz w:val="18"/>
      <w:szCs w:val="18"/>
    </w:rPr>
  </w:style>
  <w:style w:type="paragraph" w:customStyle="1" w:styleId="36">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37">
    <w:name w:val="批注框文本 字符"/>
    <w:basedOn w:val="22"/>
    <w:link w:val="12"/>
    <w:semiHidden/>
    <w:qFormat/>
    <w:uiPriority w:val="99"/>
    <w:rPr>
      <w:rFonts w:ascii="Times New Roman" w:hAnsi="Times New Roman" w:eastAsia="宋体" w:cs="Times New Roman"/>
      <w:sz w:val="18"/>
      <w:szCs w:val="18"/>
    </w:rPr>
  </w:style>
  <w:style w:type="character" w:customStyle="1" w:styleId="38">
    <w:name w:val="release-day"/>
    <w:basedOn w:val="22"/>
    <w:qFormat/>
    <w:uiPriority w:val="0"/>
    <w:rPr>
      <w:bdr w:val="single" w:color="BDEBB0" w:sz="4" w:space="0"/>
      <w:shd w:val="clear" w:color="auto" w:fill="F5FFF1"/>
    </w:rPr>
  </w:style>
  <w:style w:type="character" w:customStyle="1" w:styleId="39">
    <w:name w:val="answer-title"/>
    <w:basedOn w:val="22"/>
    <w:qFormat/>
    <w:uiPriority w:val="0"/>
    <w:rPr>
      <w:color w:val="35B558"/>
      <w:sz w:val="22"/>
      <w:szCs w:val="22"/>
    </w:rPr>
  </w:style>
  <w:style w:type="character" w:customStyle="1" w:styleId="40">
    <w:name w:val="legend"/>
    <w:basedOn w:val="22"/>
    <w:qFormat/>
    <w:uiPriority w:val="0"/>
    <w:rPr>
      <w:rFonts w:ascii="Arial" w:hAnsi="Arial" w:cs="Arial"/>
      <w:b/>
      <w:color w:val="73B304"/>
      <w:sz w:val="14"/>
      <w:szCs w:val="14"/>
      <w:shd w:val="clear" w:color="auto" w:fill="FFFFFF"/>
    </w:rPr>
  </w:style>
  <w:style w:type="character" w:customStyle="1" w:styleId="41">
    <w:name w:val="num10"/>
    <w:basedOn w:val="22"/>
    <w:qFormat/>
    <w:uiPriority w:val="0"/>
    <w:rPr>
      <w:b/>
      <w:color w:val="FF7800"/>
    </w:rPr>
  </w:style>
  <w:style w:type="character" w:customStyle="1" w:styleId="42">
    <w:name w:val="answer-title12"/>
    <w:basedOn w:val="22"/>
    <w:qFormat/>
    <w:uiPriority w:val="0"/>
  </w:style>
  <w:style w:type="character" w:customStyle="1" w:styleId="43">
    <w:name w:val="num"/>
    <w:basedOn w:val="22"/>
    <w:qFormat/>
    <w:uiPriority w:val="0"/>
    <w:rPr>
      <w:b/>
      <w:color w:val="FF7800"/>
    </w:rPr>
  </w:style>
  <w:style w:type="character" w:customStyle="1" w:styleId="44">
    <w:name w:val="num5"/>
    <w:basedOn w:val="22"/>
    <w:qFormat/>
    <w:uiPriority w:val="0"/>
    <w:rPr>
      <w:b/>
      <w:color w:val="FF7800"/>
    </w:rPr>
  </w:style>
  <w:style w:type="character" w:customStyle="1" w:styleId="45">
    <w:name w:val="fontstrikethrough"/>
    <w:basedOn w:val="22"/>
    <w:qFormat/>
    <w:uiPriority w:val="0"/>
    <w:rPr>
      <w:strike/>
    </w:rPr>
  </w:style>
  <w:style w:type="character" w:customStyle="1" w:styleId="46">
    <w:name w:val="fontborder"/>
    <w:basedOn w:val="22"/>
    <w:qFormat/>
    <w:uiPriority w:val="0"/>
    <w:rPr>
      <w:bdr w:val="single" w:color="000000" w:sz="4" w:space="0"/>
    </w:rPr>
  </w:style>
  <w:style w:type="character" w:customStyle="1" w:styleId="47">
    <w:name w:val="批注文字 字符"/>
    <w:basedOn w:val="22"/>
    <w:link w:val="10"/>
    <w:semiHidden/>
    <w:qFormat/>
    <w:uiPriority w:val="99"/>
    <w:rPr>
      <w:kern w:val="2"/>
      <w:sz w:val="21"/>
    </w:rPr>
  </w:style>
  <w:style w:type="character" w:customStyle="1" w:styleId="48">
    <w:name w:val="批注主题 字符"/>
    <w:basedOn w:val="47"/>
    <w:link w:val="19"/>
    <w:semiHidden/>
    <w:qFormat/>
    <w:uiPriority w:val="99"/>
    <w:rPr>
      <w:b/>
      <w:bCs/>
      <w:kern w:val="2"/>
      <w:sz w:val="21"/>
    </w:rPr>
  </w:style>
  <w:style w:type="paragraph" w:customStyle="1" w:styleId="49">
    <w:name w:val="列出段落1"/>
    <w:basedOn w:val="1"/>
    <w:qFormat/>
    <w:uiPriority w:val="34"/>
    <w:pPr>
      <w:widowControl/>
      <w:spacing w:before="100" w:beforeAutospacing="1" w:after="100" w:afterAutospacing="1"/>
      <w:jc w:val="left"/>
    </w:pPr>
    <w:rPr>
      <w:rFonts w:ascii="宋体" w:hAnsi="宋体" w:cs="宋体"/>
      <w:kern w:val="0"/>
      <w:sz w:val="24"/>
      <w:szCs w:val="24"/>
    </w:rPr>
  </w:style>
  <w:style w:type="paragraph" w:customStyle="1" w:styleId="50">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1">
    <w:name w:val="apple-converted-space"/>
    <w:basedOn w:val="22"/>
    <w:qFormat/>
    <w:uiPriority w:val="0"/>
  </w:style>
  <w:style w:type="paragraph" w:styleId="52">
    <w:name w:val="List Paragraph"/>
    <w:basedOn w:val="1"/>
    <w:qFormat/>
    <w:uiPriority w:val="34"/>
    <w:pPr>
      <w:ind w:firstLine="420" w:firstLineChars="200"/>
    </w:pPr>
  </w:style>
  <w:style w:type="character" w:styleId="53">
    <w:name w:val="Placeholder Text"/>
    <w:basedOn w:val="22"/>
    <w:semiHidden/>
    <w:qFormat/>
    <w:uiPriority w:val="99"/>
    <w:rPr>
      <w:color w:val="808080"/>
    </w:rPr>
  </w:style>
  <w:style w:type="character" w:customStyle="1" w:styleId="54">
    <w:name w:val="正文文本 字符"/>
    <w:basedOn w:val="22"/>
    <w:link w:val="3"/>
    <w:qFormat/>
    <w:uiPriority w:val="0"/>
    <w:rPr>
      <w:rFonts w:ascii="Calibri" w:hAnsi="Calibri"/>
      <w:kern w:val="2"/>
      <w:sz w:val="21"/>
      <w:szCs w:val="22"/>
    </w:rPr>
  </w:style>
  <w:style w:type="character" w:customStyle="1" w:styleId="55">
    <w:name w:val="正文文本 2 字符"/>
    <w:basedOn w:val="22"/>
    <w:link w:val="17"/>
    <w:qFormat/>
    <w:uiPriority w:val="0"/>
    <w:rPr>
      <w:rFonts w:ascii="宋体" w:hAnsi="宋体"/>
      <w:color w:val="000000"/>
      <w:kern w:val="2"/>
      <w:sz w:val="24"/>
      <w:szCs w:val="24"/>
    </w:rPr>
  </w:style>
  <w:style w:type="paragraph" w:customStyle="1" w:styleId="56">
    <w:name w:val="表格"/>
    <w:basedOn w:val="1"/>
    <w:qFormat/>
    <w:uiPriority w:val="0"/>
    <w:pPr>
      <w:spacing w:line="400" w:lineRule="exact"/>
      <w:jc w:val="center"/>
    </w:pPr>
  </w:style>
  <w:style w:type="paragraph" w:customStyle="1" w:styleId="57">
    <w:name w:val="表中文字"/>
    <w:basedOn w:val="1"/>
    <w:qFormat/>
    <w:uiPriority w:val="0"/>
    <w:pPr>
      <w:snapToGrid w:val="0"/>
      <w:spacing w:line="400" w:lineRule="exact"/>
      <w:jc w:val="center"/>
    </w:pPr>
    <w:rPr>
      <w:rFonts w:ascii="Arial" w:hAnsi="Arial"/>
    </w:rPr>
  </w:style>
  <w:style w:type="paragraph" w:customStyle="1" w:styleId="58">
    <w:name w:val="Char Char Char1 Char"/>
    <w:basedOn w:val="1"/>
    <w:qFormat/>
    <w:uiPriority w:val="0"/>
  </w:style>
  <w:style w:type="paragraph" w:customStyle="1" w:styleId="59">
    <w:name w:val="Other|1"/>
    <w:basedOn w:val="1"/>
    <w:qFormat/>
    <w:uiPriority w:val="0"/>
    <w:pPr>
      <w:jc w:val="center"/>
    </w:pPr>
    <w:rPr>
      <w:rFonts w:ascii="宋体" w:hAnsi="宋体" w:cs="宋体"/>
      <w:sz w:val="14"/>
      <w:szCs w:val="14"/>
      <w:lang w:val="zh-TW" w:eastAsia="zh-TW" w:bidi="zh-TW"/>
    </w:rPr>
  </w:style>
  <w:style w:type="paragraph" w:customStyle="1" w:styleId="60">
    <w:name w:val="新标题样式"/>
    <w:basedOn w:val="1"/>
    <w:qFormat/>
    <w:uiPriority w:val="0"/>
    <w:pPr>
      <w:tabs>
        <w:tab w:val="left" w:pos="567"/>
      </w:tabs>
      <w:spacing w:line="360" w:lineRule="auto"/>
    </w:pPr>
    <w:rPr>
      <w:rFonts w:eastAsia="黑体"/>
      <w:b/>
      <w:spacing w:val="20"/>
      <w:sz w:val="24"/>
    </w:rPr>
  </w:style>
  <w:style w:type="paragraph" w:customStyle="1" w:styleId="61">
    <w:name w:val="Table Paragraph"/>
    <w:basedOn w:val="1"/>
    <w:qFormat/>
    <w:uiPriority w:val="1"/>
    <w:pPr>
      <w:jc w:val="center"/>
    </w:pPr>
    <w:rPr>
      <w:rFonts w:ascii="宋体" w:hAnsi="宋体" w:cs="宋体"/>
      <w:lang w:val="zh-CN" w:bidi="zh-CN"/>
    </w:rPr>
  </w:style>
  <w:style w:type="character" w:customStyle="1" w:styleId="62">
    <w:name w:val="font1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3.xml"/><Relationship Id="rId4" Type="http://schemas.openxmlformats.org/officeDocument/2006/relationships/header" Target="header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oleObject" Target="embeddings/oleObject2.bin"/><Relationship Id="rId11" Type="http://schemas.openxmlformats.org/officeDocument/2006/relationships/image" Target="media/image3.png"/><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5C5101-BD9A-4A34-9C04-9492E3E4D2B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8222</Words>
  <Characters>9991</Characters>
  <Lines>91</Lines>
  <Paragraphs>25</Paragraphs>
  <TotalTime>64</TotalTime>
  <ScaleCrop>false</ScaleCrop>
  <LinksUpToDate>false</LinksUpToDate>
  <CharactersWithSpaces>10353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2017-08-16T01:28:00Z</dcterms:created>
  <dc:creator>微软用户</dc:creator>
  <dc:description>1</dc:description>
  <cp:lastModifiedBy>A lifetime</cp:lastModifiedBy>
  <cp:lastPrinted>2019-07-06T02:58:00Z</cp:lastPrinted>
  <dcterms:modified xsi:type="dcterms:W3CDTF">2023-04-25T02:10:08Z</dcterms:modified>
  <cp:revision>193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1FD35FDD427A4D0E897514F34E57F3E1</vt:lpwstr>
  </property>
</Properties>
</file>