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276" w:lineRule="auto"/>
        <w:jc w:val="center"/>
        <w:rPr>
          <w:rFonts w:ascii="黑体" w:hAnsi="黑体" w:eastAsia="黑体"/>
          <w:b/>
          <w:sz w:val="28"/>
        </w:rPr>
      </w:pPr>
    </w:p>
    <w:p>
      <w:pPr>
        <w:spacing w:before="156" w:beforeLines="50" w:line="276" w:lineRule="auto"/>
        <w:jc w:val="center"/>
        <w:rPr>
          <w:rFonts w:ascii="黑体" w:hAnsi="黑体" w:eastAsia="黑体"/>
          <w:b/>
          <w:sz w:val="28"/>
        </w:rPr>
      </w:pPr>
    </w:p>
    <w:p>
      <w:pPr>
        <w:spacing w:before="156" w:beforeLines="50" w:line="360" w:lineRule="auto"/>
        <w:jc w:val="center"/>
        <w:rPr>
          <w:rFonts w:hint="eastAsia" w:ascii="黑体" w:hAnsi="黑体" w:eastAsia="黑体"/>
          <w:b/>
          <w:sz w:val="28"/>
        </w:rPr>
      </w:pPr>
      <w:r>
        <w:rPr>
          <w:rFonts w:ascii="黑体" w:hAnsi="黑体" w:eastAsia="黑体"/>
          <w:b/>
          <w:sz w:val="28"/>
        </w:rPr>
        <w:drawing>
          <wp:inline distT="0" distB="0" distL="0" distR="0">
            <wp:extent cx="3183890" cy="1591945"/>
            <wp:effectExtent l="0" t="0" r="0" b="0"/>
            <wp:docPr id="4" name="图片 4" descr="C:\Users\YD-LH\源文件\Desktop\盈德气体集团新logo定-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YD-LH\源文件\Desktop\盈德气体集团新logo定-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83890" cy="1591945"/>
                    </a:xfrm>
                    <a:prstGeom prst="rect">
                      <a:avLst/>
                    </a:prstGeom>
                    <a:noFill/>
                    <a:ln>
                      <a:noFill/>
                    </a:ln>
                  </pic:spPr>
                </pic:pic>
              </a:graphicData>
            </a:graphic>
          </wp:inline>
        </w:drawing>
      </w:r>
    </w:p>
    <w:p>
      <w:pPr>
        <w:spacing w:before="156" w:beforeLines="50" w:line="360" w:lineRule="auto"/>
        <w:jc w:val="center"/>
        <w:rPr>
          <w:rFonts w:hint="eastAsia" w:ascii="黑体" w:hAnsi="黑体" w:eastAsia="黑体"/>
          <w:b/>
          <w:sz w:val="32"/>
          <w:lang w:val="en-US" w:eastAsia="zh-CN"/>
        </w:rPr>
      </w:pPr>
      <w:r>
        <w:rPr>
          <w:rFonts w:hint="eastAsia" w:ascii="黑体" w:hAnsi="黑体" w:eastAsia="黑体"/>
          <w:b/>
          <w:sz w:val="32"/>
        </w:rPr>
        <w:t xml:space="preserve">安阳盈德气体有限公司 </w:t>
      </w:r>
      <w:r>
        <w:rPr>
          <w:rFonts w:hint="eastAsia" w:ascii="黑体" w:hAnsi="黑体" w:eastAsia="黑体"/>
          <w:b/>
          <w:sz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center"/>
        <w:textAlignment w:val="auto"/>
        <w:outlineLvl w:val="9"/>
        <w:rPr>
          <w:rFonts w:hint="eastAsia" w:ascii="黑体" w:hAnsi="黑体" w:eastAsia="黑体" w:cs="Times New Roman"/>
          <w:b/>
          <w:sz w:val="44"/>
          <w:szCs w:val="44"/>
          <w:lang w:val="en-US" w:eastAsia="zh-CN"/>
        </w:rPr>
      </w:pPr>
      <w:r>
        <w:rPr>
          <w:rFonts w:hint="eastAsia" w:ascii="黑体" w:hAnsi="黑体" w:eastAsia="黑体" w:cs="Times New Roman"/>
          <w:b/>
          <w:sz w:val="44"/>
          <w:szCs w:val="44"/>
          <w:lang w:val="en-US" w:eastAsia="zh-CN"/>
        </w:rPr>
        <w:t>2022年度有毒有害物质排放情况报告</w:t>
      </w:r>
    </w:p>
    <w:p>
      <w:pPr>
        <w:spacing w:before="156" w:beforeLines="50" w:line="360" w:lineRule="auto"/>
        <w:jc w:val="center"/>
        <w:rPr>
          <w:rFonts w:hint="default" w:ascii="黑体" w:hAnsi="黑体" w:eastAsia="黑体"/>
          <w:b/>
          <w:sz w:val="52"/>
          <w:lang w:val="en-US" w:eastAsia="zh-CN"/>
        </w:rPr>
      </w:pPr>
    </w:p>
    <w:p>
      <w:pPr>
        <w:snapToGrid w:val="0"/>
        <w:spacing w:line="360" w:lineRule="auto"/>
        <w:jc w:val="center"/>
        <w:rPr>
          <w:rFonts w:ascii="黑体" w:hAnsi="黑体" w:eastAsia="黑体"/>
          <w:b/>
          <w:sz w:val="52"/>
        </w:rPr>
      </w:pPr>
    </w:p>
    <w:p>
      <w:pPr>
        <w:spacing w:before="156" w:beforeLines="50" w:line="276" w:lineRule="auto"/>
        <w:rPr>
          <w:rFonts w:hint="eastAsia" w:ascii="黑体" w:hAnsi="黑体" w:eastAsia="黑体"/>
          <w:b/>
          <w:sz w:val="28"/>
          <w:lang w:eastAsia="zh-CN"/>
        </w:rPr>
      </w:pPr>
      <w:r>
        <w:rPr>
          <w:rFonts w:hint="eastAsia" w:ascii="黑体" w:hAnsi="黑体" w:eastAsia="黑体"/>
          <w:b/>
          <w:sz w:val="52"/>
          <w:lang w:val="en-US" w:eastAsia="zh-CN"/>
        </w:rPr>
        <w:t xml:space="preserve"> </w:t>
      </w:r>
    </w:p>
    <w:p>
      <w:pPr>
        <w:spacing w:before="156" w:beforeLines="50" w:line="276" w:lineRule="auto"/>
        <w:jc w:val="both"/>
        <w:rPr>
          <w:rFonts w:hint="eastAsia" w:ascii="黑体" w:hAnsi="黑体" w:eastAsia="黑体"/>
          <w:b/>
          <w:sz w:val="32"/>
          <w:szCs w:val="32"/>
        </w:rPr>
      </w:pPr>
    </w:p>
    <w:p>
      <w:pPr>
        <w:spacing w:line="360" w:lineRule="auto"/>
        <w:ind w:firstLine="2891" w:firstLineChars="900"/>
        <w:jc w:val="both"/>
        <w:rPr>
          <w:rFonts w:hint="default" w:ascii="黑体" w:hAnsi="黑体" w:eastAsia="黑体"/>
          <w:b/>
          <w:bCs/>
          <w:sz w:val="32"/>
          <w:szCs w:val="32"/>
          <w:lang w:val="en-US" w:eastAsia="zh-CN"/>
        </w:rPr>
      </w:pPr>
      <w:r>
        <w:rPr>
          <w:rFonts w:hint="eastAsia" w:ascii="黑体" w:hAnsi="黑体" w:eastAsia="黑体"/>
          <w:b/>
          <w:bCs/>
          <w:sz w:val="32"/>
          <w:szCs w:val="32"/>
          <w:lang w:val="en-US" w:eastAsia="zh-CN"/>
        </w:rPr>
        <w:t>编制</w:t>
      </w:r>
      <w:r>
        <w:rPr>
          <w:rFonts w:hint="eastAsia" w:ascii="黑体" w:hAnsi="黑体" w:eastAsia="黑体"/>
          <w:b/>
          <w:bCs/>
          <w:sz w:val="32"/>
          <w:szCs w:val="32"/>
        </w:rPr>
        <w:t>：</w:t>
      </w:r>
      <w:r>
        <w:rPr>
          <w:rFonts w:hint="eastAsia" w:ascii="黑体" w:hAnsi="黑体" w:eastAsia="黑体"/>
          <w:b/>
          <w:bCs/>
          <w:sz w:val="32"/>
          <w:szCs w:val="32"/>
          <w:u w:val="single"/>
          <w:lang w:val="en-US" w:eastAsia="zh-CN"/>
        </w:rPr>
        <w:t xml:space="preserve"> 王志凯  陈君妍</w:t>
      </w:r>
    </w:p>
    <w:p>
      <w:pPr>
        <w:spacing w:line="360" w:lineRule="auto"/>
        <w:ind w:firstLine="2891" w:firstLineChars="900"/>
        <w:jc w:val="both"/>
        <w:rPr>
          <w:rFonts w:hint="default" w:ascii="黑体" w:hAnsi="黑体" w:eastAsia="黑体" w:cs="Times New Roman"/>
          <w:b/>
          <w:bCs/>
          <w:kern w:val="2"/>
          <w:sz w:val="32"/>
          <w:szCs w:val="32"/>
          <w:lang w:val="en-US" w:eastAsia="zh-CN" w:bidi="ar-SA"/>
        </w:rPr>
      </w:pPr>
      <w:r>
        <w:rPr>
          <w:rFonts w:hint="eastAsia" w:ascii="黑体" w:hAnsi="黑体" w:eastAsia="黑体"/>
          <w:b/>
          <w:bCs/>
          <w:sz w:val="32"/>
          <w:szCs w:val="32"/>
          <w:lang w:val="en-US" w:eastAsia="zh-CN"/>
        </w:rPr>
        <w:t>审核：</w:t>
      </w:r>
      <w:r>
        <w:rPr>
          <w:rFonts w:hint="eastAsia" w:ascii="黑体" w:hAnsi="黑体" w:eastAsia="黑体"/>
          <w:b/>
          <w:bCs/>
          <w:sz w:val="32"/>
          <w:szCs w:val="32"/>
          <w:u w:val="single"/>
          <w:lang w:val="en-US" w:eastAsia="zh-CN"/>
        </w:rPr>
        <w:t xml:space="preserve"> 孟凡祖 </w:t>
      </w:r>
    </w:p>
    <w:p>
      <w:pPr>
        <w:pStyle w:val="4"/>
        <w:jc w:val="center"/>
        <w:rPr>
          <w:rFonts w:hint="eastAsia" w:ascii="黑体" w:hAnsi="黑体" w:eastAsia="黑体" w:cs="Times New Roman"/>
          <w:b/>
          <w:bCs/>
          <w:kern w:val="2"/>
          <w:sz w:val="32"/>
          <w:szCs w:val="32"/>
          <w:lang w:val="zh-CN" w:eastAsia="zh-CN" w:bidi="ar-SA"/>
        </w:rPr>
      </w:pPr>
    </w:p>
    <w:p>
      <w:pPr>
        <w:pStyle w:val="4"/>
        <w:jc w:val="center"/>
        <w:rPr>
          <w:rFonts w:hint="eastAsia" w:ascii="黑体" w:hAnsi="黑体" w:eastAsia="黑体" w:cs="Times New Roman"/>
          <w:b/>
          <w:bCs/>
          <w:kern w:val="2"/>
          <w:sz w:val="32"/>
          <w:szCs w:val="32"/>
          <w:lang w:val="zh-CN" w:eastAsia="zh-CN" w:bidi="ar-SA"/>
        </w:rPr>
      </w:pPr>
    </w:p>
    <w:p>
      <w:pPr>
        <w:pStyle w:val="4"/>
        <w:jc w:val="center"/>
        <w:rPr>
          <w:rFonts w:hint="eastAsia" w:ascii="黑体" w:hAnsi="黑体" w:eastAsia="黑体" w:cs="Times New Roman"/>
          <w:b/>
          <w:bCs/>
          <w:kern w:val="2"/>
          <w:sz w:val="32"/>
          <w:szCs w:val="32"/>
          <w:lang w:val="zh-CN" w:eastAsia="zh-CN" w:bidi="ar-SA"/>
        </w:rPr>
      </w:pPr>
      <w:r>
        <w:rPr>
          <w:rFonts w:hint="eastAsia" w:ascii="黑体" w:hAnsi="黑体" w:eastAsia="黑体" w:cs="Times New Roman"/>
          <w:b/>
          <w:bCs/>
          <w:kern w:val="2"/>
          <w:sz w:val="32"/>
          <w:szCs w:val="32"/>
          <w:lang w:val="zh-CN" w:eastAsia="zh-CN" w:bidi="ar-SA"/>
        </w:rPr>
        <w:t>二零</w:t>
      </w:r>
      <w:r>
        <w:rPr>
          <w:rFonts w:hint="eastAsia" w:ascii="黑体" w:hAnsi="黑体" w:eastAsia="黑体" w:cs="Times New Roman"/>
          <w:b/>
          <w:bCs/>
          <w:kern w:val="2"/>
          <w:sz w:val="32"/>
          <w:szCs w:val="32"/>
          <w:lang w:val="en-US" w:eastAsia="zh-CN" w:bidi="ar-SA"/>
        </w:rPr>
        <w:t>二三</w:t>
      </w:r>
      <w:r>
        <w:rPr>
          <w:rFonts w:hint="eastAsia" w:ascii="黑体" w:hAnsi="黑体" w:eastAsia="黑体" w:cs="Times New Roman"/>
          <w:b/>
          <w:bCs/>
          <w:kern w:val="2"/>
          <w:sz w:val="32"/>
          <w:szCs w:val="32"/>
          <w:lang w:val="zh-CN" w:eastAsia="zh-CN" w:bidi="ar-SA"/>
        </w:rPr>
        <w:t>年</w:t>
      </w:r>
      <w:r>
        <w:rPr>
          <w:rFonts w:hint="eastAsia" w:ascii="黑体" w:hAnsi="黑体" w:eastAsia="黑体" w:cs="Times New Roman"/>
          <w:b/>
          <w:bCs/>
          <w:kern w:val="2"/>
          <w:sz w:val="32"/>
          <w:szCs w:val="32"/>
          <w:lang w:val="en-US" w:eastAsia="zh-CN" w:bidi="ar-SA"/>
        </w:rPr>
        <w:t>二</w:t>
      </w:r>
      <w:r>
        <w:rPr>
          <w:rFonts w:hint="eastAsia" w:ascii="黑体" w:hAnsi="黑体" w:eastAsia="黑体" w:cs="Times New Roman"/>
          <w:b/>
          <w:bCs/>
          <w:kern w:val="2"/>
          <w:sz w:val="32"/>
          <w:szCs w:val="32"/>
          <w:lang w:val="zh-CN" w:eastAsia="zh-CN" w:bidi="ar-SA"/>
        </w:rPr>
        <w:t>月</w:t>
      </w:r>
    </w:p>
    <w:p/>
    <w:sdt>
      <w:sdtPr>
        <w:rPr>
          <w:rFonts w:ascii="宋体" w:hAnsi="宋体" w:eastAsia="宋体" w:cs="Times New Roman"/>
          <w:kern w:val="2"/>
          <w:sz w:val="28"/>
          <w:szCs w:val="28"/>
          <w:lang w:val="en-US" w:eastAsia="zh-CN" w:bidi="ar-SA"/>
        </w:rPr>
        <w:id w:val="147458527"/>
        <w15:color w:val="DBDBDB"/>
        <w:docPartObj>
          <w:docPartGallery w:val="Table of Contents"/>
          <w:docPartUnique/>
        </w:docPartObj>
      </w:sdtPr>
      <w:sdtEndPr>
        <w:rPr>
          <w:rFonts w:hint="eastAsia" w:ascii="Times New Roman" w:hAnsi="Times New Roman" w:eastAsia="宋体" w:cs="Times New Roman"/>
          <w:b/>
          <w:bCs/>
          <w:color w:val="auto"/>
          <w:kern w:val="2"/>
          <w:sz w:val="21"/>
          <w:szCs w:val="44"/>
          <w:lang w:val="en-US" w:eastAsia="zh-CN" w:bidi="ar-SA"/>
        </w:rPr>
      </w:sdtEndPr>
      <w:sdtContent>
        <w:p>
          <w:pPr>
            <w:pStyle w:val="2"/>
            <w:keepNext w:val="0"/>
            <w:keepLines w:val="0"/>
            <w:pageBreakBefore w:val="0"/>
            <w:widowControl w:val="0"/>
            <w:kinsoku/>
            <w:wordWrap/>
            <w:overflowPunct/>
            <w:topLinePunct w:val="0"/>
            <w:autoSpaceDE/>
            <w:autoSpaceDN/>
            <w:bidi w:val="0"/>
            <w:adjustRightInd/>
            <w:snapToGrid/>
            <w:spacing w:after="0" w:afterLines="0" w:line="520" w:lineRule="exact"/>
            <w:ind w:left="0" w:leftChars="0" w:right="0" w:rightChars="0" w:firstLine="0" w:firstLineChars="0"/>
            <w:jc w:val="center"/>
            <w:textAlignment w:val="auto"/>
            <w:rPr>
              <w:rFonts w:hint="default" w:ascii="宋体" w:hAnsi="宋体" w:eastAsia="宋体" w:cs="Times New Roman"/>
              <w:kern w:val="2"/>
              <w:sz w:val="28"/>
              <w:szCs w:val="28"/>
              <w:lang w:val="en-US" w:eastAsia="zh-CN" w:bidi="ar-SA"/>
            </w:rPr>
          </w:pPr>
          <w:bookmarkStart w:id="0" w:name="_Toc3269"/>
          <w:r>
            <w:rPr>
              <w:rFonts w:hint="eastAsia" w:ascii="微软雅黑" w:hAnsi="微软雅黑" w:eastAsia="微软雅黑" w:cs="微软雅黑"/>
              <w:kern w:val="2"/>
              <w:sz w:val="28"/>
              <w:szCs w:val="28"/>
              <w:lang w:val="en-US" w:eastAsia="zh-CN" w:bidi="ar-SA"/>
            </w:rPr>
            <w:t>目   录</w:t>
          </w:r>
        </w:p>
        <w:p>
          <w:pPr>
            <w:pStyle w:val="15"/>
            <w:tabs>
              <w:tab w:val="right" w:leader="dot" w:pos="8306"/>
              <w:tab w:val="clear" w:pos="8720"/>
            </w:tabs>
          </w:pPr>
          <w:r>
            <w:rPr>
              <w:rFonts w:hint="eastAsia" w:ascii="微软雅黑" w:hAnsi="微软雅黑" w:eastAsia="微软雅黑" w:cs="微软雅黑"/>
              <w:b/>
              <w:bCs/>
              <w:color w:val="auto"/>
              <w:kern w:val="2"/>
              <w:sz w:val="21"/>
              <w:szCs w:val="21"/>
              <w:lang w:val="en-US" w:eastAsia="zh-CN" w:bidi="ar-SA"/>
            </w:rPr>
            <w:fldChar w:fldCharType="begin"/>
          </w:r>
          <w:r>
            <w:rPr>
              <w:rFonts w:hint="eastAsia" w:ascii="微软雅黑" w:hAnsi="微软雅黑" w:eastAsia="微软雅黑" w:cs="微软雅黑"/>
              <w:b/>
              <w:bCs/>
              <w:color w:val="auto"/>
              <w:kern w:val="2"/>
              <w:sz w:val="21"/>
              <w:szCs w:val="21"/>
              <w:lang w:val="en-US" w:eastAsia="zh-CN" w:bidi="ar-SA"/>
            </w:rPr>
            <w:instrText xml:space="preserve">TOC \o "1-2" \h \u </w:instrText>
          </w:r>
          <w:r>
            <w:rPr>
              <w:rFonts w:hint="eastAsia" w:ascii="微软雅黑" w:hAnsi="微软雅黑" w:eastAsia="微软雅黑" w:cs="微软雅黑"/>
              <w:b/>
              <w:bCs/>
              <w:color w:val="auto"/>
              <w:kern w:val="2"/>
              <w:sz w:val="21"/>
              <w:szCs w:val="21"/>
              <w:lang w:val="en-US" w:eastAsia="zh-CN" w:bidi="ar-SA"/>
            </w:rPr>
            <w:fldChar w:fldCharType="separate"/>
          </w: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_Toc14463 </w:instrText>
          </w:r>
          <w:r>
            <w:rPr>
              <w:rFonts w:hint="eastAsia" w:ascii="微软雅黑" w:hAnsi="微软雅黑" w:eastAsia="微软雅黑" w:cs="微软雅黑"/>
              <w:bCs/>
              <w:kern w:val="2"/>
              <w:szCs w:val="21"/>
              <w:lang w:val="en-US" w:eastAsia="zh-CN" w:bidi="ar-SA"/>
            </w:rPr>
            <w:fldChar w:fldCharType="separate"/>
          </w:r>
          <w:r>
            <w:rPr>
              <w:rFonts w:hint="eastAsia"/>
              <w:lang w:val="en-US" w:eastAsia="zh-CN"/>
            </w:rPr>
            <w:t>1 前言</w:t>
          </w:r>
          <w:r>
            <w:tab/>
          </w:r>
          <w:r>
            <w:fldChar w:fldCharType="begin"/>
          </w:r>
          <w:r>
            <w:instrText xml:space="preserve"> PAGEREF _Toc14463 </w:instrText>
          </w:r>
          <w:r>
            <w:fldChar w:fldCharType="separate"/>
          </w:r>
          <w:r>
            <w:t>1</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5"/>
            <w:tabs>
              <w:tab w:val="right" w:leader="dot" w:pos="8306"/>
              <w:tab w:val="clear" w:pos="8720"/>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_Toc832 </w:instrText>
          </w:r>
          <w:r>
            <w:rPr>
              <w:rFonts w:hint="eastAsia" w:ascii="微软雅黑" w:hAnsi="微软雅黑" w:eastAsia="微软雅黑" w:cs="微软雅黑"/>
              <w:bCs/>
              <w:kern w:val="2"/>
              <w:szCs w:val="21"/>
              <w:lang w:val="en-US" w:eastAsia="zh-CN" w:bidi="ar-SA"/>
            </w:rPr>
            <w:fldChar w:fldCharType="separate"/>
          </w:r>
          <w:r>
            <w:rPr>
              <w:rFonts w:hint="eastAsia" w:ascii="Times New Roman" w:hAnsi="Times New Roman" w:cs="Times New Roman"/>
              <w:szCs w:val="22"/>
              <w:lang w:val="en-US" w:eastAsia="zh-CN"/>
            </w:rPr>
            <w:t>2 编制依据</w:t>
          </w:r>
          <w:r>
            <w:tab/>
          </w:r>
          <w:r>
            <w:fldChar w:fldCharType="begin"/>
          </w:r>
          <w:r>
            <w:instrText xml:space="preserve"> PAGEREF _Toc832 </w:instrText>
          </w:r>
          <w:r>
            <w:fldChar w:fldCharType="separate"/>
          </w:r>
          <w:r>
            <w:t>1</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_Toc13057 </w:instrText>
          </w:r>
          <w:r>
            <w:rPr>
              <w:rFonts w:hint="eastAsia" w:ascii="微软雅黑" w:hAnsi="微软雅黑" w:eastAsia="微软雅黑" w:cs="微软雅黑"/>
              <w:bCs/>
              <w:kern w:val="2"/>
              <w:szCs w:val="21"/>
              <w:lang w:val="en-US" w:eastAsia="zh-CN" w:bidi="ar-SA"/>
            </w:rPr>
            <w:fldChar w:fldCharType="separate"/>
          </w:r>
          <w:r>
            <w:rPr>
              <w:rFonts w:hint="eastAsia"/>
              <w:lang w:val="en-US" w:eastAsia="zh-CN"/>
            </w:rPr>
            <w:t>2.1 法律法规及文件</w:t>
          </w:r>
          <w:r>
            <w:tab/>
          </w:r>
          <w:r>
            <w:fldChar w:fldCharType="begin"/>
          </w:r>
          <w:r>
            <w:instrText xml:space="preserve"> PAGEREF _Toc13057 </w:instrText>
          </w:r>
          <w:r>
            <w:fldChar w:fldCharType="separate"/>
          </w:r>
          <w:r>
            <w:t>1</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_Toc3619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2.2 标准及规范</w:t>
          </w:r>
          <w:r>
            <w:tab/>
          </w:r>
          <w:r>
            <w:fldChar w:fldCharType="begin"/>
          </w:r>
          <w:r>
            <w:instrText xml:space="preserve"> PAGEREF _Toc3619 </w:instrText>
          </w:r>
          <w:r>
            <w:fldChar w:fldCharType="separate"/>
          </w:r>
          <w:r>
            <w:t>1</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_Toc11838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2.3 技术指南</w:t>
          </w:r>
          <w:r>
            <w:tab/>
          </w:r>
          <w:r>
            <w:fldChar w:fldCharType="begin"/>
          </w:r>
          <w:r>
            <w:instrText xml:space="preserve"> PAGEREF _Toc11838 </w:instrText>
          </w:r>
          <w:r>
            <w:fldChar w:fldCharType="separate"/>
          </w:r>
          <w:r>
            <w:t>1</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5"/>
            <w:tabs>
              <w:tab w:val="right" w:leader="dot" w:pos="8306"/>
              <w:tab w:val="clear" w:pos="8720"/>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_Toc10070 </w:instrText>
          </w:r>
          <w:r>
            <w:rPr>
              <w:rFonts w:hint="eastAsia" w:ascii="微软雅黑" w:hAnsi="微软雅黑" w:eastAsia="微软雅黑" w:cs="微软雅黑"/>
              <w:bCs/>
              <w:kern w:val="2"/>
              <w:szCs w:val="21"/>
              <w:lang w:val="en-US" w:eastAsia="zh-CN" w:bidi="ar-SA"/>
            </w:rPr>
            <w:fldChar w:fldCharType="separate"/>
          </w:r>
          <w:r>
            <w:rPr>
              <w:rFonts w:hint="default" w:ascii="Times New Roman" w:hAnsi="Times New Roman" w:cs="Times New Roman"/>
              <w:szCs w:val="22"/>
              <w:lang w:val="en-US" w:eastAsia="zh-CN"/>
            </w:rPr>
            <w:t>3 企业基本</w:t>
          </w:r>
          <w:r>
            <w:rPr>
              <w:rFonts w:hint="eastAsia" w:ascii="Times New Roman" w:hAnsi="Times New Roman" w:cs="Times New Roman"/>
              <w:szCs w:val="22"/>
              <w:lang w:val="en-US" w:eastAsia="zh-CN"/>
            </w:rPr>
            <w:t>情况</w:t>
          </w:r>
          <w:r>
            <w:tab/>
          </w:r>
          <w:r>
            <w:fldChar w:fldCharType="begin"/>
          </w:r>
          <w:r>
            <w:instrText xml:space="preserve"> PAGEREF _Toc10070 </w:instrText>
          </w:r>
          <w:r>
            <w:fldChar w:fldCharType="separate"/>
          </w:r>
          <w:r>
            <w:t>2</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_Toc9736 </w:instrText>
          </w:r>
          <w:r>
            <w:rPr>
              <w:rFonts w:hint="eastAsia" w:ascii="微软雅黑" w:hAnsi="微软雅黑" w:eastAsia="微软雅黑" w:cs="微软雅黑"/>
              <w:bCs/>
              <w:kern w:val="2"/>
              <w:szCs w:val="21"/>
              <w:lang w:val="en-US" w:eastAsia="zh-CN" w:bidi="ar-SA"/>
            </w:rPr>
            <w:fldChar w:fldCharType="separate"/>
          </w:r>
          <w:r>
            <w:rPr>
              <w:rFonts w:hint="default" w:cs="Times New Roman"/>
              <w:lang w:val="en-US" w:eastAsia="zh-CN"/>
            </w:rPr>
            <w:t>3</w:t>
          </w:r>
          <w:r>
            <w:rPr>
              <w:rFonts w:hint="eastAsia" w:cs="Times New Roman"/>
              <w:lang w:val="en-US" w:eastAsia="zh-CN"/>
            </w:rPr>
            <w:t xml:space="preserve">.1 </w:t>
          </w:r>
          <w:r>
            <w:rPr>
              <w:rFonts w:hint="default" w:cs="Times New Roman"/>
              <w:lang w:val="en-US" w:eastAsia="zh-CN"/>
            </w:rPr>
            <w:t>企业基本信息</w:t>
          </w:r>
          <w:r>
            <w:tab/>
          </w:r>
          <w:r>
            <w:fldChar w:fldCharType="begin"/>
          </w:r>
          <w:r>
            <w:instrText xml:space="preserve"> PAGEREF _Toc9736 </w:instrText>
          </w:r>
          <w:r>
            <w:fldChar w:fldCharType="separate"/>
          </w:r>
          <w:r>
            <w:t>2</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_Toc18808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3.2 企业平面布置</w:t>
          </w:r>
          <w:r>
            <w:tab/>
          </w:r>
          <w:r>
            <w:fldChar w:fldCharType="begin"/>
          </w:r>
          <w:r>
            <w:instrText xml:space="preserve"> PAGEREF _Toc18808 </w:instrText>
          </w:r>
          <w:r>
            <w:fldChar w:fldCharType="separate"/>
          </w:r>
          <w:r>
            <w:t>2</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_Toc10308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3.3</w:t>
          </w:r>
          <w:r>
            <w:rPr>
              <w:rFonts w:hint="default" w:cs="Times New Roman"/>
              <w:lang w:val="en-US" w:eastAsia="zh-CN"/>
            </w:rPr>
            <w:t>自然环境概况</w:t>
          </w:r>
          <w:r>
            <w:tab/>
          </w:r>
          <w:r>
            <w:fldChar w:fldCharType="begin"/>
          </w:r>
          <w:r>
            <w:instrText xml:space="preserve"> PAGEREF _Toc10308 </w:instrText>
          </w:r>
          <w:r>
            <w:fldChar w:fldCharType="separate"/>
          </w:r>
          <w:r>
            <w:t>3</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_Toc31094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3.4 生产工艺、设备及污染防治措施</w:t>
          </w:r>
          <w:r>
            <w:tab/>
          </w:r>
          <w:r>
            <w:fldChar w:fldCharType="begin"/>
          </w:r>
          <w:r>
            <w:instrText xml:space="preserve"> PAGEREF _Toc31094 </w:instrText>
          </w:r>
          <w:r>
            <w:fldChar w:fldCharType="separate"/>
          </w:r>
          <w:r>
            <w:t>4</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_Toc8778 </w:instrText>
          </w:r>
          <w:r>
            <w:rPr>
              <w:rFonts w:hint="eastAsia" w:ascii="微软雅黑" w:hAnsi="微软雅黑" w:eastAsia="微软雅黑" w:cs="微软雅黑"/>
              <w:bCs/>
              <w:kern w:val="2"/>
              <w:szCs w:val="21"/>
              <w:lang w:val="en-US" w:eastAsia="zh-CN" w:bidi="ar-SA"/>
            </w:rPr>
            <w:fldChar w:fldCharType="separate"/>
          </w:r>
          <w:r>
            <w:rPr>
              <w:rFonts w:hint="default" w:cs="Times New Roman"/>
              <w:lang w:val="en-US" w:eastAsia="zh-CN"/>
            </w:rPr>
            <w:t>3.5 生产工艺流程简介</w:t>
          </w:r>
          <w:r>
            <w:tab/>
          </w:r>
          <w:r>
            <w:fldChar w:fldCharType="begin"/>
          </w:r>
          <w:r>
            <w:instrText xml:space="preserve"> PAGEREF _Toc8778 </w:instrText>
          </w:r>
          <w:r>
            <w:fldChar w:fldCharType="separate"/>
          </w:r>
          <w:r>
            <w:t>10</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_Toc25347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3.6 “三废”</w:t>
          </w:r>
          <w:r>
            <w:rPr>
              <w:rFonts w:hint="default" w:cs="Times New Roman"/>
              <w:lang w:val="en-US" w:eastAsia="zh-CN"/>
            </w:rPr>
            <w:t>的产生</w:t>
          </w:r>
          <w:r>
            <w:rPr>
              <w:rFonts w:hint="eastAsia" w:cs="Times New Roman"/>
              <w:lang w:val="en-US" w:eastAsia="zh-CN"/>
            </w:rPr>
            <w:t>情况</w:t>
          </w:r>
          <w:r>
            <w:rPr>
              <w:rFonts w:hint="default" w:cs="Times New Roman"/>
              <w:lang w:val="en-US" w:eastAsia="zh-CN"/>
            </w:rPr>
            <w:t>及治理措施</w:t>
          </w:r>
          <w:r>
            <w:tab/>
          </w:r>
          <w:r>
            <w:fldChar w:fldCharType="begin"/>
          </w:r>
          <w:r>
            <w:instrText xml:space="preserve"> PAGEREF _Toc25347 </w:instrText>
          </w:r>
          <w:r>
            <w:fldChar w:fldCharType="separate"/>
          </w:r>
          <w:r>
            <w:t>11</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5"/>
            <w:tabs>
              <w:tab w:val="right" w:leader="dot" w:pos="8306"/>
              <w:tab w:val="clear" w:pos="8720"/>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_Toc32235 </w:instrText>
          </w:r>
          <w:r>
            <w:rPr>
              <w:rFonts w:hint="eastAsia" w:ascii="微软雅黑" w:hAnsi="微软雅黑" w:eastAsia="微软雅黑" w:cs="微软雅黑"/>
              <w:bCs/>
              <w:kern w:val="2"/>
              <w:szCs w:val="21"/>
              <w:lang w:val="en-US" w:eastAsia="zh-CN" w:bidi="ar-SA"/>
            </w:rPr>
            <w:fldChar w:fldCharType="separate"/>
          </w:r>
          <w:r>
            <w:rPr>
              <w:rFonts w:hint="eastAsia" w:ascii="Times New Roman" w:hAnsi="Times New Roman" w:cs="Times New Roman"/>
              <w:szCs w:val="22"/>
              <w:lang w:val="en-US" w:eastAsia="zh-CN"/>
            </w:rPr>
            <w:t>4 自行监测方案及结果分析</w:t>
          </w:r>
          <w:r>
            <w:tab/>
          </w:r>
          <w:r>
            <w:fldChar w:fldCharType="begin"/>
          </w:r>
          <w:r>
            <w:instrText xml:space="preserve"> PAGEREF _Toc32235 </w:instrText>
          </w:r>
          <w:r>
            <w:fldChar w:fldCharType="separate"/>
          </w:r>
          <w:r>
            <w:t>15</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_Toc10726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4.1 自行监测方案</w:t>
          </w:r>
          <w:r>
            <w:tab/>
          </w:r>
          <w:r>
            <w:fldChar w:fldCharType="begin"/>
          </w:r>
          <w:r>
            <w:instrText xml:space="preserve"> PAGEREF _Toc10726 </w:instrText>
          </w:r>
          <w:r>
            <w:fldChar w:fldCharType="separate"/>
          </w:r>
          <w:r>
            <w:t>15</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_Toc13324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4.2监测点及监测项目统计一览表</w:t>
          </w:r>
          <w:r>
            <w:tab/>
          </w:r>
          <w:r>
            <w:fldChar w:fldCharType="begin"/>
          </w:r>
          <w:r>
            <w:instrText xml:space="preserve"> PAGEREF _Toc13324 </w:instrText>
          </w:r>
          <w:r>
            <w:fldChar w:fldCharType="separate"/>
          </w:r>
          <w:r>
            <w:t>15</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_Toc7882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4.3监测方法</w:t>
          </w:r>
          <w:r>
            <w:tab/>
          </w:r>
          <w:r>
            <w:fldChar w:fldCharType="begin"/>
          </w:r>
          <w:r>
            <w:instrText xml:space="preserve"> PAGEREF _Toc7882 </w:instrText>
          </w:r>
          <w:r>
            <w:fldChar w:fldCharType="separate"/>
          </w:r>
          <w:r>
            <w:t>16</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_Toc26806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4.4 监测结果分析</w:t>
          </w:r>
          <w:r>
            <w:tab/>
          </w:r>
          <w:r>
            <w:fldChar w:fldCharType="begin"/>
          </w:r>
          <w:r>
            <w:instrText xml:space="preserve"> PAGEREF _Toc26806 </w:instrText>
          </w:r>
          <w:r>
            <w:fldChar w:fldCharType="separate"/>
          </w:r>
          <w:r>
            <w:t>16</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5"/>
            <w:tabs>
              <w:tab w:val="right" w:leader="dot" w:pos="8306"/>
              <w:tab w:val="clear" w:pos="8720"/>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_Toc15211 </w:instrText>
          </w:r>
          <w:r>
            <w:rPr>
              <w:rFonts w:hint="eastAsia" w:ascii="微软雅黑" w:hAnsi="微软雅黑" w:eastAsia="微软雅黑" w:cs="微软雅黑"/>
              <w:bCs/>
              <w:kern w:val="2"/>
              <w:szCs w:val="21"/>
              <w:lang w:val="en-US" w:eastAsia="zh-CN" w:bidi="ar-SA"/>
            </w:rPr>
            <w:fldChar w:fldCharType="separate"/>
          </w:r>
          <w:r>
            <w:rPr>
              <w:rFonts w:hint="eastAsia" w:ascii="Times New Roman" w:hAnsi="Times New Roman" w:cs="Times New Roman"/>
              <w:szCs w:val="22"/>
              <w:lang w:val="en-US" w:eastAsia="zh-CN"/>
            </w:rPr>
            <w:t>5 污染物排放情况</w:t>
          </w:r>
          <w:r>
            <w:tab/>
          </w:r>
          <w:r>
            <w:fldChar w:fldCharType="begin"/>
          </w:r>
          <w:r>
            <w:instrText xml:space="preserve"> PAGEREF _Toc15211 </w:instrText>
          </w:r>
          <w:r>
            <w:fldChar w:fldCharType="separate"/>
          </w:r>
          <w:r>
            <w:t>37</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_Toc1293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5.1 废水</w:t>
          </w:r>
          <w:r>
            <w:tab/>
          </w:r>
          <w:r>
            <w:fldChar w:fldCharType="begin"/>
          </w:r>
          <w:r>
            <w:instrText xml:space="preserve"> PAGEREF _Toc1293 </w:instrText>
          </w:r>
          <w:r>
            <w:fldChar w:fldCharType="separate"/>
          </w:r>
          <w:r>
            <w:t>37</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_Toc9608 </w:instrText>
          </w:r>
          <w:r>
            <w:rPr>
              <w:rFonts w:hint="eastAsia" w:ascii="微软雅黑" w:hAnsi="微软雅黑" w:eastAsia="微软雅黑" w:cs="微软雅黑"/>
              <w:bCs/>
              <w:kern w:val="2"/>
              <w:szCs w:val="21"/>
              <w:lang w:val="en-US" w:eastAsia="zh-CN" w:bidi="ar-SA"/>
            </w:rPr>
            <w:fldChar w:fldCharType="separate"/>
          </w:r>
          <w:r>
            <w:rPr>
              <w:rFonts w:hint="default" w:cs="Times New Roman"/>
              <w:lang w:val="en-US" w:eastAsia="zh-CN"/>
            </w:rPr>
            <w:t>5.</w:t>
          </w:r>
          <w:r>
            <w:rPr>
              <w:rFonts w:hint="eastAsia" w:cs="Times New Roman"/>
              <w:lang w:val="en-US" w:eastAsia="zh-CN"/>
            </w:rPr>
            <w:t>2</w:t>
          </w:r>
          <w:r>
            <w:rPr>
              <w:rFonts w:hint="default" w:cs="Times New Roman"/>
              <w:lang w:val="en-US" w:eastAsia="zh-CN"/>
            </w:rPr>
            <w:t>废气</w:t>
          </w:r>
          <w:r>
            <w:tab/>
          </w:r>
          <w:r>
            <w:fldChar w:fldCharType="begin"/>
          </w:r>
          <w:r>
            <w:instrText xml:space="preserve"> PAGEREF _Toc9608 </w:instrText>
          </w:r>
          <w:r>
            <w:fldChar w:fldCharType="separate"/>
          </w:r>
          <w:r>
            <w:t>37</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_Toc28590 </w:instrText>
          </w:r>
          <w:r>
            <w:rPr>
              <w:rFonts w:hint="eastAsia" w:ascii="微软雅黑" w:hAnsi="微软雅黑" w:eastAsia="微软雅黑" w:cs="微软雅黑"/>
              <w:bCs/>
              <w:kern w:val="2"/>
              <w:szCs w:val="21"/>
              <w:lang w:val="en-US" w:eastAsia="zh-CN" w:bidi="ar-SA"/>
            </w:rPr>
            <w:fldChar w:fldCharType="separate"/>
          </w:r>
          <w:r>
            <w:rPr>
              <w:rFonts w:hint="default" w:cs="Times New Roman"/>
              <w:lang w:val="en-US" w:eastAsia="zh-CN"/>
            </w:rPr>
            <w:t>5.</w:t>
          </w:r>
          <w:r>
            <w:rPr>
              <w:rFonts w:hint="eastAsia" w:cs="Times New Roman"/>
              <w:lang w:val="en-US" w:eastAsia="zh-CN"/>
            </w:rPr>
            <w:t>3</w:t>
          </w:r>
          <w:r>
            <w:rPr>
              <w:rFonts w:hint="default" w:cs="Times New Roman"/>
              <w:lang w:val="en-US" w:eastAsia="zh-CN"/>
            </w:rPr>
            <w:t xml:space="preserve"> 固废</w:t>
          </w:r>
          <w:r>
            <w:tab/>
          </w:r>
          <w:r>
            <w:fldChar w:fldCharType="begin"/>
          </w:r>
          <w:r>
            <w:instrText xml:space="preserve"> PAGEREF _Toc28590 </w:instrText>
          </w:r>
          <w:r>
            <w:fldChar w:fldCharType="separate"/>
          </w:r>
          <w:r>
            <w:t>37</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_Toc10078 </w:instrText>
          </w:r>
          <w:r>
            <w:rPr>
              <w:rFonts w:hint="eastAsia" w:ascii="微软雅黑" w:hAnsi="微软雅黑" w:eastAsia="微软雅黑" w:cs="微软雅黑"/>
              <w:bCs/>
              <w:kern w:val="2"/>
              <w:szCs w:val="21"/>
              <w:lang w:val="en-US" w:eastAsia="zh-CN" w:bidi="ar-SA"/>
            </w:rPr>
            <w:fldChar w:fldCharType="separate"/>
          </w:r>
          <w:r>
            <w:rPr>
              <w:rFonts w:hint="eastAsia" w:cs="Times New Roman"/>
              <w:lang w:val="en-US" w:eastAsia="zh-CN"/>
            </w:rPr>
            <w:t>5.4 结论</w:t>
          </w:r>
          <w:r>
            <w:tab/>
          </w:r>
          <w:r>
            <w:fldChar w:fldCharType="begin"/>
          </w:r>
          <w:r>
            <w:instrText xml:space="preserve"> PAGEREF _Toc10078 </w:instrText>
          </w:r>
          <w:r>
            <w:fldChar w:fldCharType="separate"/>
          </w:r>
          <w:r>
            <w:t>38</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16"/>
            <w:tabs>
              <w:tab w:val="right" w:leader="dot" w:pos="8306"/>
            </w:tabs>
          </w:pPr>
          <w:r>
            <w:rPr>
              <w:rFonts w:hint="eastAsia" w:ascii="微软雅黑" w:hAnsi="微软雅黑" w:eastAsia="微软雅黑" w:cs="微软雅黑"/>
              <w:bCs/>
              <w:color w:val="auto"/>
              <w:kern w:val="2"/>
              <w:szCs w:val="21"/>
              <w:lang w:val="en-US" w:eastAsia="zh-CN" w:bidi="ar-SA"/>
            </w:rPr>
            <w:fldChar w:fldCharType="begin"/>
          </w:r>
          <w:r>
            <w:rPr>
              <w:rFonts w:hint="eastAsia" w:ascii="微软雅黑" w:hAnsi="微软雅黑" w:eastAsia="微软雅黑" w:cs="微软雅黑"/>
              <w:bCs/>
              <w:kern w:val="2"/>
              <w:szCs w:val="21"/>
              <w:lang w:val="en-US" w:eastAsia="zh-CN" w:bidi="ar-SA"/>
            </w:rPr>
            <w:instrText xml:space="preserve"> HYPERLINK \l _Toc1876 </w:instrText>
          </w:r>
          <w:r>
            <w:rPr>
              <w:rFonts w:hint="eastAsia" w:ascii="微软雅黑" w:hAnsi="微软雅黑" w:eastAsia="微软雅黑" w:cs="微软雅黑"/>
              <w:bCs/>
              <w:kern w:val="2"/>
              <w:szCs w:val="21"/>
              <w:lang w:val="en-US" w:eastAsia="zh-CN" w:bidi="ar-SA"/>
            </w:rPr>
            <w:fldChar w:fldCharType="separate"/>
          </w:r>
          <w:r>
            <w:rPr>
              <w:rFonts w:hint="eastAsia"/>
              <w:lang w:val="en-US" w:eastAsia="zh-CN"/>
            </w:rPr>
            <w:t>附图1：厂区平面布置图</w:t>
          </w:r>
          <w:r>
            <w:tab/>
          </w:r>
          <w:r>
            <w:fldChar w:fldCharType="begin"/>
          </w:r>
          <w:r>
            <w:instrText xml:space="preserve"> PAGEREF _Toc1876 </w:instrText>
          </w:r>
          <w:r>
            <w:fldChar w:fldCharType="separate"/>
          </w:r>
          <w:r>
            <w:t>40</w:t>
          </w:r>
          <w:r>
            <w:fldChar w:fldCharType="end"/>
          </w:r>
          <w:r>
            <w:rPr>
              <w:rFonts w:hint="eastAsia" w:ascii="微软雅黑" w:hAnsi="微软雅黑" w:eastAsia="微软雅黑" w:cs="微软雅黑"/>
              <w:bCs/>
              <w:color w:val="auto"/>
              <w:kern w:val="2"/>
              <w:szCs w:val="21"/>
              <w:lang w:val="en-US" w:eastAsia="zh-CN" w:bidi="ar-SA"/>
            </w:rPr>
            <w:fldChar w:fldCharType="end"/>
          </w:r>
        </w:p>
        <w:p>
          <w:pPr>
            <w:pStyle w:val="2"/>
            <w:keepNext w:val="0"/>
            <w:keepLines w:val="0"/>
            <w:pageBreakBefore w:val="0"/>
            <w:widowControl w:val="0"/>
            <w:kinsoku/>
            <w:wordWrap/>
            <w:overflowPunct/>
            <w:topLinePunct w:val="0"/>
            <w:autoSpaceDE/>
            <w:autoSpaceDN/>
            <w:bidi w:val="0"/>
            <w:adjustRightInd/>
            <w:snapToGrid/>
            <w:spacing w:after="0" w:afterLines="0" w:line="480" w:lineRule="exact"/>
            <w:ind w:left="0" w:leftChars="0" w:right="0" w:rightChars="0" w:firstLine="0" w:firstLineChars="0"/>
            <w:textAlignment w:val="auto"/>
            <w:rPr>
              <w:rFonts w:hint="eastAsia"/>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微软雅黑" w:hAnsi="微软雅黑" w:eastAsia="微软雅黑" w:cs="微软雅黑"/>
              <w:bCs/>
              <w:color w:val="auto"/>
              <w:kern w:val="2"/>
              <w:szCs w:val="21"/>
              <w:lang w:val="en-US" w:eastAsia="zh-CN" w:bidi="ar-SA"/>
            </w:rPr>
            <w:fldChar w:fldCharType="end"/>
          </w:r>
        </w:p>
      </w:sdtContent>
    </w:sdt>
    <w:p>
      <w:pPr>
        <w:pStyle w:val="6"/>
        <w:bidi w:val="0"/>
        <w:rPr>
          <w:rFonts w:hint="eastAsia"/>
          <w:lang w:val="en-US" w:eastAsia="zh-CN"/>
        </w:rPr>
      </w:pPr>
      <w:bookmarkStart w:id="1" w:name="_Toc14463"/>
      <w:r>
        <w:rPr>
          <w:rFonts w:hint="eastAsia"/>
          <w:lang w:val="en-US" w:eastAsia="zh-CN"/>
        </w:rPr>
        <w:t>1 前言</w:t>
      </w:r>
      <w:bookmarkEnd w:id="0"/>
      <w:bookmarkEnd w:id="1"/>
    </w:p>
    <w:p>
      <w:pPr>
        <w:keepNext w:val="0"/>
        <w:keepLines w:val="0"/>
        <w:pageBreakBefore w:val="0"/>
        <w:kinsoku/>
        <w:wordWrap/>
        <w:overflowPunct/>
        <w:topLinePunct w:val="0"/>
        <w:autoSpaceDE/>
        <w:autoSpaceDN/>
        <w:bidi w:val="0"/>
        <w:adjustRightInd/>
        <w:snapToGrid/>
        <w:spacing w:line="276" w:lineRule="auto"/>
        <w:ind w:firstLine="440" w:firstLineChars="20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根据</w:t>
      </w:r>
      <w:r>
        <w:rPr>
          <w:rFonts w:hint="eastAsia" w:ascii="微软雅黑" w:hAnsi="微软雅黑" w:eastAsia="微软雅黑" w:cs="微软雅黑"/>
          <w:color w:val="auto"/>
          <w:sz w:val="22"/>
          <w:szCs w:val="22"/>
          <w:lang w:val="en-US" w:eastAsia="zh-CN"/>
        </w:rPr>
        <w:t>《中华人民共和国土壤污染防治法》要求，土壤重点监管单位应严格控制有毒有害物质排放，并按年度向生态环境主管部门报告排放情况。据此，结合本公司实际，编制本报告。</w:t>
      </w:r>
    </w:p>
    <w:p>
      <w:pPr>
        <w:pStyle w:val="6"/>
        <w:bidi w:val="0"/>
        <w:rPr>
          <w:rFonts w:hint="eastAsia" w:ascii="Times New Roman" w:hAnsi="Times New Roman" w:cs="Times New Roman"/>
          <w:szCs w:val="22"/>
          <w:lang w:val="en-US" w:eastAsia="zh-CN"/>
        </w:rPr>
      </w:pPr>
      <w:bookmarkStart w:id="2" w:name="_Toc20039"/>
      <w:bookmarkStart w:id="3" w:name="_Toc832"/>
      <w:r>
        <w:rPr>
          <w:rFonts w:hint="eastAsia" w:ascii="Times New Roman" w:hAnsi="Times New Roman" w:cs="Times New Roman"/>
          <w:szCs w:val="22"/>
          <w:lang w:val="en-US" w:eastAsia="zh-CN"/>
        </w:rPr>
        <w:t>2 编制依据</w:t>
      </w:r>
      <w:bookmarkEnd w:id="2"/>
      <w:bookmarkEnd w:id="3"/>
      <w:bookmarkStart w:id="4" w:name="_Toc13866_WPSOffice_Level2"/>
      <w:bookmarkStart w:id="5" w:name="_Toc27453_WPSOffice_Level2"/>
      <w:bookmarkStart w:id="6" w:name="_Toc6393_WPSOffice_Level2"/>
    </w:p>
    <w:p>
      <w:pPr>
        <w:pStyle w:val="7"/>
        <w:bidi w:val="0"/>
        <w:rPr>
          <w:rFonts w:hint="eastAsia"/>
          <w:lang w:val="en-US" w:eastAsia="zh-CN"/>
        </w:rPr>
      </w:pPr>
      <w:bookmarkStart w:id="7" w:name="_Toc11105"/>
      <w:bookmarkStart w:id="8" w:name="_Toc13057"/>
      <w:r>
        <w:rPr>
          <w:rFonts w:hint="eastAsia"/>
          <w:lang w:val="en-US" w:eastAsia="zh-CN"/>
        </w:rPr>
        <w:t>2.1 法律法规及文件</w:t>
      </w:r>
      <w:bookmarkEnd w:id="4"/>
      <w:bookmarkEnd w:id="5"/>
      <w:bookmarkEnd w:id="6"/>
      <w:bookmarkEnd w:id="7"/>
      <w:bookmarkEnd w:id="8"/>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line="276" w:lineRule="auto"/>
        <w:ind w:right="0" w:rightChars="0" w:firstLine="440" w:firstLineChars="20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（1）《中华人民共和国环境保护法》 （2015年1月1日）；</w:t>
      </w:r>
    </w:p>
    <w:p>
      <w:pPr>
        <w:pStyle w:val="2"/>
        <w:keepNext w:val="0"/>
        <w:keepLines w:val="0"/>
        <w:pageBreakBefore w:val="0"/>
        <w:widowControl w:val="0"/>
        <w:kinsoku/>
        <w:wordWrap/>
        <w:overflowPunct/>
        <w:topLinePunct w:val="0"/>
        <w:autoSpaceDE/>
        <w:autoSpaceDN/>
        <w:bidi w:val="0"/>
        <w:adjustRightInd/>
        <w:snapToGrid/>
        <w:spacing w:after="0" w:afterLines="0" w:line="276" w:lineRule="auto"/>
        <w:ind w:left="0" w:leftChars="0" w:right="0" w:rightChars="0"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color w:val="auto"/>
          <w:sz w:val="22"/>
          <w:szCs w:val="22"/>
          <w:lang w:val="en-US" w:eastAsia="zh-CN"/>
        </w:rPr>
        <w:t>（2）《中华人民共和国土壤污染防治法》 （2019年1月1日）；</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line="276" w:lineRule="auto"/>
        <w:ind w:right="0" w:rightChars="0" w:firstLine="440" w:firstLineChars="20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（3）《土壤污染防治行动计划》 （国发〔2016〕31号）；</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line="276" w:lineRule="auto"/>
        <w:ind w:right="0" w:rightChars="0" w:firstLine="440" w:firstLineChars="20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（4）《河南省清洁土壤行动计划》 （豫政 〔2017〕13号）；</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line="276" w:lineRule="auto"/>
        <w:ind w:right="0" w:rightChars="0" w:firstLine="440" w:firstLineChars="20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（5）《河南省人民政府关于印发河南省污染防治攻坚战三年行动计划(2018—2020年)的通知》 （豫政〔2018〕30号）；</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line="276" w:lineRule="auto"/>
        <w:ind w:right="0" w:rightChars="0" w:firstLine="440" w:firstLineChars="20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（6）《河南省环境保护厅办公室关于做好土壤环境重点监管企业及周边土壤环境监测工作的通知》 （豫环办〔2018〕66号）；</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line="276" w:lineRule="auto"/>
        <w:ind w:right="0" w:rightChars="0" w:firstLine="440" w:firstLineChars="20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（7）关于印发《重点排污单位名录管理规定（试行）》的通知 （环办监测〔2017〕86号））；</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line="276" w:lineRule="auto"/>
        <w:ind w:right="0" w:rightChars="0" w:firstLine="440" w:firstLineChars="20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（8）《土壤环境质量建设用地土壤污染风险管控标准 （试行）》（GB 36600-2018）。</w:t>
      </w:r>
    </w:p>
    <w:p>
      <w:pPr>
        <w:pStyle w:val="7"/>
        <w:bidi w:val="0"/>
        <w:rPr>
          <w:rFonts w:hint="eastAsia" w:cs="Times New Roman"/>
          <w:lang w:val="en-US" w:eastAsia="zh-CN"/>
        </w:rPr>
      </w:pPr>
      <w:bookmarkStart w:id="9" w:name="_Toc30754_WPSOffice_Level2"/>
      <w:bookmarkStart w:id="10" w:name="_Toc8985_WPSOffice_Level2"/>
      <w:bookmarkStart w:id="11" w:name="_Toc31732_WPSOffice_Level2"/>
      <w:bookmarkStart w:id="12" w:name="_Toc1435"/>
      <w:bookmarkStart w:id="13" w:name="_Toc3619"/>
      <w:r>
        <w:rPr>
          <w:rFonts w:hint="eastAsia" w:cs="Times New Roman"/>
          <w:lang w:val="en-US" w:eastAsia="zh-CN"/>
        </w:rPr>
        <w:t>2.2 标准及规范</w:t>
      </w:r>
      <w:bookmarkEnd w:id="9"/>
      <w:bookmarkEnd w:id="10"/>
      <w:bookmarkEnd w:id="11"/>
      <w:bookmarkEnd w:id="12"/>
      <w:bookmarkEnd w:id="13"/>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76" w:lineRule="auto"/>
        <w:ind w:firstLine="57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（1）《场地环境调查技术规范》（HJ25.1-2014）；</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76" w:lineRule="auto"/>
        <w:ind w:firstLine="57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（2）《场地环境监测技术导则》（HJ25.2-2014）；</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76" w:lineRule="auto"/>
        <w:ind w:firstLine="57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（3）《土壤环境监测技术规范》（HJ/T166-2004）；</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76" w:lineRule="auto"/>
        <w:ind w:firstLine="57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（4）《地下水环境监测技术规范》（HJ/T164-2004）；</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76" w:lineRule="auto"/>
        <w:ind w:firstLine="57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（5）《土壤环境质量建设用地土壤污染风险管控标准（试行）》（GB36600-2018）；</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76" w:lineRule="auto"/>
        <w:ind w:firstLine="57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（6）《排污单位自行监测技术指南 总则》 （HJ 819-2017）；</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76" w:lineRule="auto"/>
        <w:ind w:firstLine="57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（7）《环境监测质量管理技术导则》（HJ 630-2011）。</w:t>
      </w:r>
    </w:p>
    <w:p>
      <w:pPr>
        <w:pStyle w:val="7"/>
        <w:bidi w:val="0"/>
        <w:rPr>
          <w:rFonts w:hint="default" w:cs="Times New Roman"/>
          <w:lang w:val="en-US" w:eastAsia="zh-CN"/>
        </w:rPr>
      </w:pPr>
      <w:bookmarkStart w:id="14" w:name="_Toc12849_WPSOffice_Level2"/>
      <w:bookmarkStart w:id="15" w:name="_Toc24328"/>
      <w:bookmarkStart w:id="16" w:name="_Toc23536_WPSOffice_Level2"/>
      <w:bookmarkStart w:id="17" w:name="_Toc32027_WPSOffice_Level2"/>
      <w:bookmarkStart w:id="18" w:name="_Toc11838"/>
      <w:r>
        <w:rPr>
          <w:rFonts w:hint="eastAsia" w:cs="Times New Roman"/>
          <w:lang w:val="en-US" w:eastAsia="zh-CN"/>
        </w:rPr>
        <w:t>2.3 技术指南</w:t>
      </w:r>
      <w:bookmarkEnd w:id="14"/>
      <w:bookmarkEnd w:id="15"/>
      <w:bookmarkEnd w:id="16"/>
      <w:bookmarkEnd w:id="17"/>
      <w:bookmarkEnd w:id="18"/>
      <w:r>
        <w:rPr>
          <w:rFonts w:hint="eastAsia" w:cs="Times New Roman"/>
          <w:lang w:val="en-US" w:eastAsia="zh-CN"/>
        </w:rPr>
        <w:t>及其它文件</w:t>
      </w:r>
    </w:p>
    <w:p>
      <w:pPr>
        <w:keepNext w:val="0"/>
        <w:keepLines w:val="0"/>
        <w:widowControl/>
        <w:suppressLineNumbers w:val="0"/>
        <w:jc w:val="left"/>
        <w:rPr>
          <w:rFonts w:hint="default" w:ascii="Arial" w:hAnsi="Arial" w:eastAsia="宋体" w:cs="Arial"/>
          <w:color w:val="000000"/>
          <w:kern w:val="0"/>
          <w:sz w:val="24"/>
          <w:szCs w:val="24"/>
          <w:lang w:val="en-US" w:eastAsia="zh-CN" w:bidi="ar"/>
        </w:rPr>
      </w:pPr>
      <w:r>
        <w:rPr>
          <w:rFonts w:hint="eastAsia" w:ascii="微软雅黑" w:hAnsi="微软雅黑" w:eastAsia="微软雅黑" w:cs="微软雅黑"/>
          <w:color w:val="auto"/>
          <w:sz w:val="22"/>
          <w:szCs w:val="22"/>
          <w:lang w:val="en-US" w:eastAsia="zh-CN"/>
        </w:rPr>
        <w:t>《工业企业土壤和地下水自行监测技术指南》（试行）</w:t>
      </w:r>
      <w:r>
        <w:rPr>
          <w:rFonts w:hint="default" w:ascii="Times New Roman" w:hAnsi="Times New Roman" w:eastAsia="宋体" w:cs="Times New Roman"/>
          <w:b/>
          <w:bCs/>
          <w:color w:val="000000"/>
          <w:kern w:val="0"/>
          <w:sz w:val="24"/>
          <w:szCs w:val="24"/>
          <w:lang w:val="en-US" w:eastAsia="zh-CN" w:bidi="ar"/>
        </w:rPr>
        <w:t xml:space="preserve">HJ </w:t>
      </w:r>
      <w:r>
        <w:rPr>
          <w:rFonts w:ascii="Arial" w:hAnsi="Arial" w:eastAsia="宋体" w:cs="Arial"/>
          <w:color w:val="000000"/>
          <w:kern w:val="0"/>
          <w:sz w:val="24"/>
          <w:szCs w:val="24"/>
          <w:lang w:val="en-US" w:eastAsia="zh-CN" w:bidi="ar"/>
        </w:rPr>
        <w:t>1209</w:t>
      </w:r>
      <w:r>
        <w:rPr>
          <w:rFonts w:hint="eastAsia" w:ascii="宋体" w:hAnsi="宋体" w:eastAsia="宋体" w:cs="宋体"/>
          <w:color w:val="000000"/>
          <w:kern w:val="0"/>
          <w:sz w:val="24"/>
          <w:szCs w:val="24"/>
          <w:lang w:val="en-US" w:eastAsia="zh-CN" w:bidi="ar"/>
        </w:rPr>
        <w:t>—</w:t>
      </w:r>
      <w:r>
        <w:rPr>
          <w:rFonts w:hint="default" w:ascii="Arial" w:hAnsi="Arial" w:eastAsia="宋体" w:cs="Arial"/>
          <w:color w:val="000000"/>
          <w:kern w:val="0"/>
          <w:sz w:val="24"/>
          <w:szCs w:val="24"/>
          <w:lang w:val="en-US" w:eastAsia="zh-CN" w:bidi="ar"/>
        </w:rPr>
        <w:t>2021</w:t>
      </w:r>
    </w:p>
    <w:p>
      <w:pPr>
        <w:keepNext w:val="0"/>
        <w:keepLines w:val="0"/>
        <w:widowControl/>
        <w:suppressLineNumbers w:val="0"/>
        <w:jc w:val="left"/>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《有毒有害水污染物名录（第一批）》的公告 （公告 </w:t>
      </w:r>
      <w:r>
        <w:rPr>
          <w:rFonts w:hint="default" w:ascii="微软雅黑" w:hAnsi="微软雅黑" w:eastAsia="微软雅黑" w:cs="微软雅黑"/>
          <w:color w:val="auto"/>
          <w:sz w:val="22"/>
          <w:szCs w:val="22"/>
          <w:lang w:val="en-US" w:eastAsia="zh-CN"/>
        </w:rPr>
        <w:t xml:space="preserve">2019 </w:t>
      </w:r>
      <w:r>
        <w:rPr>
          <w:rFonts w:hint="eastAsia" w:ascii="微软雅黑" w:hAnsi="微软雅黑" w:eastAsia="微软雅黑" w:cs="微软雅黑"/>
          <w:color w:val="auto"/>
          <w:sz w:val="22"/>
          <w:szCs w:val="22"/>
          <w:lang w:val="en-US" w:eastAsia="zh-CN"/>
        </w:rPr>
        <w:t xml:space="preserve">年 第 </w:t>
      </w:r>
      <w:r>
        <w:rPr>
          <w:rFonts w:hint="default" w:ascii="微软雅黑" w:hAnsi="微软雅黑" w:eastAsia="微软雅黑" w:cs="微软雅黑"/>
          <w:color w:val="auto"/>
          <w:sz w:val="22"/>
          <w:szCs w:val="22"/>
          <w:lang w:val="en-US" w:eastAsia="zh-CN"/>
        </w:rPr>
        <w:t xml:space="preserve">28 </w:t>
      </w:r>
      <w:r>
        <w:rPr>
          <w:rFonts w:hint="eastAsia" w:ascii="微软雅黑" w:hAnsi="微软雅黑" w:eastAsia="微软雅黑" w:cs="微软雅黑"/>
          <w:color w:val="auto"/>
          <w:sz w:val="22"/>
          <w:szCs w:val="22"/>
          <w:lang w:val="en-US" w:eastAsia="zh-CN"/>
        </w:rPr>
        <w:t>号）</w:t>
      </w:r>
    </w:p>
    <w:p>
      <w:pPr>
        <w:keepNext w:val="0"/>
        <w:keepLines w:val="0"/>
        <w:widowControl/>
        <w:suppressLineNumbers w:val="0"/>
        <w:jc w:val="left"/>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《有毒有害大气污染物名录（2018 年）》的公告 （公告 2019 年 第 4 号）</w:t>
      </w:r>
    </w:p>
    <w:p>
      <w:pPr>
        <w:keepNext w:val="0"/>
        <w:keepLines w:val="0"/>
        <w:widowControl/>
        <w:suppressLineNumbers w:val="0"/>
        <w:jc w:val="left"/>
        <w:rPr>
          <w:rFonts w:hint="eastAsia"/>
          <w:lang w:val="en-US" w:eastAsia="zh-CN"/>
        </w:rPr>
      </w:pPr>
    </w:p>
    <w:p>
      <w:pPr>
        <w:pStyle w:val="6"/>
        <w:bidi w:val="0"/>
        <w:rPr>
          <w:rFonts w:hint="eastAsia" w:ascii="Times New Roman" w:hAnsi="Times New Roman" w:cs="Times New Roman"/>
          <w:szCs w:val="22"/>
          <w:lang w:val="en-US" w:eastAsia="zh-CN"/>
        </w:rPr>
      </w:pPr>
      <w:bookmarkStart w:id="19" w:name="_Toc9315"/>
      <w:bookmarkStart w:id="20" w:name="_Toc10070"/>
      <w:r>
        <w:rPr>
          <w:rFonts w:hint="default" w:ascii="Times New Roman" w:hAnsi="Times New Roman" w:cs="Times New Roman"/>
          <w:szCs w:val="22"/>
          <w:lang w:val="en-US" w:eastAsia="zh-CN"/>
        </w:rPr>
        <w:t>3 企业基本</w:t>
      </w:r>
      <w:r>
        <w:rPr>
          <w:rFonts w:hint="eastAsia" w:ascii="Times New Roman" w:hAnsi="Times New Roman" w:cs="Times New Roman"/>
          <w:szCs w:val="22"/>
          <w:lang w:val="en-US" w:eastAsia="zh-CN"/>
        </w:rPr>
        <w:t>情况</w:t>
      </w:r>
      <w:bookmarkEnd w:id="19"/>
      <w:bookmarkEnd w:id="20"/>
    </w:p>
    <w:p>
      <w:pPr>
        <w:pStyle w:val="7"/>
        <w:bidi w:val="0"/>
        <w:rPr>
          <w:rFonts w:hint="default" w:cs="Times New Roman"/>
          <w:lang w:val="en-US" w:eastAsia="zh-CN"/>
        </w:rPr>
      </w:pPr>
      <w:bookmarkStart w:id="21" w:name="_Toc412"/>
      <w:bookmarkStart w:id="22" w:name="_Toc9736"/>
      <w:r>
        <w:rPr>
          <w:rFonts w:hint="default" w:cs="Times New Roman"/>
          <w:lang w:val="en-US" w:eastAsia="zh-CN"/>
        </w:rPr>
        <w:t>3</w:t>
      </w:r>
      <w:r>
        <w:rPr>
          <w:rFonts w:hint="eastAsia" w:cs="Times New Roman"/>
          <w:lang w:val="en-US" w:eastAsia="zh-CN"/>
        </w:rPr>
        <w:t xml:space="preserve">.1 </w:t>
      </w:r>
      <w:r>
        <w:rPr>
          <w:rFonts w:hint="default" w:cs="Times New Roman"/>
          <w:lang w:val="en-US" w:eastAsia="zh-CN"/>
        </w:rPr>
        <w:t>企业基本信息</w:t>
      </w:r>
      <w:bookmarkEnd w:id="21"/>
      <w:bookmarkEnd w:id="22"/>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企业基本信息统计见下表。</w:t>
      </w:r>
    </w:p>
    <w:p>
      <w:pPr>
        <w:jc w:val="center"/>
        <w:rPr>
          <w:rFonts w:hint="default" w:ascii="Times New Roman" w:hAnsi="Times New Roman" w:eastAsia="宋体" w:cs="Times New Roman"/>
          <w:color w:val="000000"/>
          <w:kern w:val="2"/>
          <w:sz w:val="21"/>
          <w:szCs w:val="21"/>
          <w:lang w:val="en-US" w:eastAsia="zh-CN" w:bidi="ar-SA"/>
        </w:rPr>
      </w:pPr>
    </w:p>
    <w:p>
      <w:pPr>
        <w:jc w:val="center"/>
        <w:rPr>
          <w:rFonts w:hint="default" w:ascii="Times New Roman" w:hAnsi="Times New Roman" w:eastAsia="宋体" w:cs="Times New Roman"/>
          <w:color w:val="000000"/>
          <w:kern w:val="2"/>
          <w:sz w:val="21"/>
          <w:szCs w:val="21"/>
          <w:lang w:val="en-US" w:eastAsia="zh-CN" w:bidi="ar-SA"/>
        </w:rPr>
      </w:pPr>
    </w:p>
    <w:p>
      <w:pPr>
        <w:jc w:val="center"/>
        <w:rPr>
          <w:rFonts w:hint="eastAsia" w:ascii="Times New Roman" w:hAnsi="Times New Roman" w:eastAsia="宋体" w:cs="Times New Roman"/>
          <w:b/>
          <w:bCs/>
          <w:color w:val="auto"/>
          <w:sz w:val="44"/>
          <w:szCs w:val="44"/>
          <w:lang w:eastAsia="zh-CN"/>
        </w:rPr>
      </w:pPr>
      <w:r>
        <w:rPr>
          <w:rFonts w:hint="default" w:ascii="Times New Roman" w:hAnsi="Times New Roman" w:eastAsia="宋体" w:cs="Times New Roman"/>
          <w:color w:val="000000"/>
          <w:kern w:val="2"/>
          <w:sz w:val="21"/>
          <w:szCs w:val="21"/>
          <w:lang w:val="en-US" w:eastAsia="zh-CN" w:bidi="ar-SA"/>
        </w:rPr>
        <w:t>表</w:t>
      </w:r>
      <w:r>
        <w:rPr>
          <w:rFonts w:hint="eastAsia" w:ascii="Times New Roman" w:hAnsi="Times New Roman"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 xml:space="preserve"> </w:t>
      </w:r>
      <w:r>
        <w:rPr>
          <w:rFonts w:hint="eastAsia" w:ascii="Times New Roman" w:hAnsi="Times New Roman" w:cs="Times New Roman"/>
          <w:color w:val="000000"/>
          <w:kern w:val="2"/>
          <w:sz w:val="21"/>
          <w:szCs w:val="21"/>
          <w:lang w:val="en-US" w:eastAsia="zh-CN" w:bidi="ar-SA"/>
        </w:rPr>
        <w:t xml:space="preserve"> </w:t>
      </w:r>
      <w:r>
        <w:rPr>
          <w:rFonts w:hint="default" w:ascii="Times New Roman" w:hAnsi="Times New Roman" w:eastAsia="宋体" w:cs="Times New Roman"/>
          <w:color w:val="000000"/>
          <w:kern w:val="2"/>
          <w:sz w:val="21"/>
          <w:szCs w:val="21"/>
          <w:lang w:val="en-US" w:eastAsia="zh-CN" w:bidi="ar-SA"/>
        </w:rPr>
        <w:t>企业基本信息统计表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856"/>
        <w:gridCol w:w="1701"/>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名称</w:t>
            </w:r>
          </w:p>
        </w:tc>
        <w:tc>
          <w:tcPr>
            <w:tcW w:w="6734" w:type="dxa"/>
            <w:gridSpan w:val="3"/>
            <w:noWrap w:val="0"/>
            <w:vAlign w:val="center"/>
          </w:tcPr>
          <w:p>
            <w:pPr>
              <w:widowControl/>
              <w:spacing w:line="360" w:lineRule="auto"/>
              <w:jc w:val="center"/>
              <w:rPr>
                <w:rFonts w:hint="default" w:eastAsia="宋体"/>
                <w:szCs w:val="21"/>
                <w:lang w:val="en-US" w:eastAsia="zh-CN"/>
              </w:rPr>
            </w:pPr>
            <w:r>
              <w:rPr>
                <w:rFonts w:hint="eastAsia"/>
                <w:color w:val="000000"/>
                <w:szCs w:val="21"/>
                <w:lang w:val="en-US" w:eastAsia="zh-CN"/>
              </w:rPr>
              <w:t>安阳盈德气体有限公司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地址</w:t>
            </w:r>
          </w:p>
        </w:tc>
        <w:tc>
          <w:tcPr>
            <w:tcW w:w="2856" w:type="dxa"/>
            <w:noWrap w:val="0"/>
            <w:vAlign w:val="center"/>
          </w:tcPr>
          <w:p>
            <w:pPr>
              <w:pStyle w:val="49"/>
              <w:spacing w:line="360" w:lineRule="auto"/>
              <w:ind w:left="0"/>
              <w:jc w:val="center"/>
              <w:rPr>
                <w:rFonts w:hint="default" w:ascii="Times New Roman" w:hAnsi="Times New Roman" w:eastAsia="宋体"/>
                <w:color w:val="000000"/>
                <w:kern w:val="2"/>
                <w:sz w:val="21"/>
                <w:szCs w:val="21"/>
                <w:lang w:val="en-US" w:eastAsia="zh-CN"/>
              </w:rPr>
            </w:pPr>
            <w:r>
              <w:rPr>
                <w:rFonts w:hint="eastAsia" w:ascii="Times New Roman" w:hAnsi="Times New Roman"/>
                <w:color w:val="000000"/>
                <w:kern w:val="2"/>
                <w:sz w:val="21"/>
                <w:szCs w:val="21"/>
                <w:lang w:val="en-US" w:eastAsia="zh-CN"/>
              </w:rPr>
              <w:t>滑县产业集聚区中盈路2号</w:t>
            </w:r>
          </w:p>
        </w:tc>
        <w:tc>
          <w:tcPr>
            <w:tcW w:w="1701" w:type="dxa"/>
            <w:noWrap w:val="0"/>
            <w:vAlign w:val="center"/>
          </w:tcPr>
          <w:p>
            <w:pPr>
              <w:widowControl/>
              <w:spacing w:line="360" w:lineRule="auto"/>
              <w:jc w:val="center"/>
              <w:rPr>
                <w:szCs w:val="21"/>
              </w:rPr>
            </w:pPr>
            <w:r>
              <w:rPr>
                <w:szCs w:val="21"/>
              </w:rPr>
              <w:t>所在市</w:t>
            </w:r>
          </w:p>
        </w:tc>
        <w:tc>
          <w:tcPr>
            <w:tcW w:w="2177" w:type="dxa"/>
            <w:noWrap w:val="0"/>
            <w:vAlign w:val="center"/>
          </w:tcPr>
          <w:p>
            <w:pPr>
              <w:widowControl/>
              <w:spacing w:line="360" w:lineRule="auto"/>
              <w:jc w:val="center"/>
              <w:rPr>
                <w:szCs w:val="21"/>
              </w:rPr>
            </w:pPr>
            <w:r>
              <w:rPr>
                <w:szCs w:val="21"/>
              </w:rPr>
              <w:t>安阳市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rFonts w:hint="eastAsia"/>
                <w:color w:val="000000"/>
                <w:szCs w:val="21"/>
              </w:rPr>
              <w:t>成立</w:t>
            </w:r>
            <w:r>
              <w:rPr>
                <w:color w:val="000000"/>
                <w:szCs w:val="21"/>
              </w:rPr>
              <w:t>日期</w:t>
            </w:r>
          </w:p>
        </w:tc>
        <w:tc>
          <w:tcPr>
            <w:tcW w:w="6734" w:type="dxa"/>
            <w:gridSpan w:val="3"/>
            <w:noWrap w:val="0"/>
            <w:vAlign w:val="center"/>
          </w:tcPr>
          <w:p>
            <w:pPr>
              <w:widowControl/>
              <w:spacing w:line="360" w:lineRule="auto"/>
              <w:jc w:val="center"/>
              <w:rPr>
                <w:rFonts w:hint="default" w:eastAsia="宋体"/>
                <w:szCs w:val="21"/>
                <w:lang w:val="en-US" w:eastAsia="zh-CN"/>
              </w:rPr>
            </w:pPr>
            <w:r>
              <w:rPr>
                <w:color w:val="000000"/>
                <w:szCs w:val="21"/>
              </w:rPr>
              <w:t>20</w:t>
            </w:r>
            <w:r>
              <w:rPr>
                <w:rFonts w:hint="eastAsia"/>
                <w:color w:val="000000"/>
                <w:szCs w:val="21"/>
                <w:lang w:val="en-US" w:eastAsia="zh-CN"/>
              </w:rPr>
              <w:t>10</w:t>
            </w:r>
            <w:r>
              <w:rPr>
                <w:color w:val="000000"/>
                <w:szCs w:val="21"/>
              </w:rPr>
              <w:t>年</w:t>
            </w:r>
            <w:r>
              <w:rPr>
                <w:rFonts w:hint="eastAsia"/>
                <w:color w:val="000000"/>
                <w:szCs w:val="21"/>
                <w:lang w:val="en-US" w:eastAsia="zh-CN"/>
              </w:rPr>
              <w:t>9月30日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法定代表人</w:t>
            </w:r>
          </w:p>
        </w:tc>
        <w:tc>
          <w:tcPr>
            <w:tcW w:w="2856" w:type="dxa"/>
            <w:noWrap w:val="0"/>
            <w:vAlign w:val="center"/>
          </w:tcPr>
          <w:p>
            <w:pPr>
              <w:widowControl/>
              <w:spacing w:line="360" w:lineRule="auto"/>
              <w:jc w:val="center"/>
              <w:rPr>
                <w:rFonts w:hint="eastAsia" w:eastAsia="宋体"/>
                <w:color w:val="000000"/>
                <w:szCs w:val="21"/>
                <w:lang w:eastAsia="zh-CN"/>
              </w:rPr>
            </w:pPr>
            <w:r>
              <w:rPr>
                <w:rFonts w:hint="eastAsia"/>
                <w:szCs w:val="21"/>
                <w:lang w:val="en-US" w:eastAsia="zh-CN"/>
              </w:rPr>
              <w:t>王俊旭</w:t>
            </w:r>
          </w:p>
        </w:tc>
        <w:tc>
          <w:tcPr>
            <w:tcW w:w="1701" w:type="dxa"/>
            <w:noWrap w:val="0"/>
            <w:vAlign w:val="center"/>
          </w:tcPr>
          <w:p>
            <w:pPr>
              <w:widowControl/>
              <w:spacing w:line="360" w:lineRule="auto"/>
              <w:jc w:val="center"/>
              <w:rPr>
                <w:szCs w:val="21"/>
              </w:rPr>
            </w:pPr>
            <w:r>
              <w:rPr>
                <w:szCs w:val="21"/>
              </w:rPr>
              <w:t>邮政编码</w:t>
            </w:r>
          </w:p>
        </w:tc>
        <w:tc>
          <w:tcPr>
            <w:tcW w:w="2177" w:type="dxa"/>
            <w:noWrap w:val="0"/>
            <w:vAlign w:val="center"/>
          </w:tcPr>
          <w:p>
            <w:pPr>
              <w:widowControl/>
              <w:spacing w:line="360" w:lineRule="auto"/>
              <w:jc w:val="center"/>
              <w:rPr>
                <w:szCs w:val="21"/>
              </w:rPr>
            </w:pPr>
            <w:r>
              <w:rPr>
                <w:szCs w:val="21"/>
              </w:rPr>
              <w:t>456400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联系电话</w:t>
            </w:r>
          </w:p>
        </w:tc>
        <w:tc>
          <w:tcPr>
            <w:tcW w:w="2856" w:type="dxa"/>
            <w:noWrap w:val="0"/>
            <w:vAlign w:val="center"/>
          </w:tcPr>
          <w:p>
            <w:pPr>
              <w:pStyle w:val="49"/>
              <w:spacing w:line="360" w:lineRule="auto"/>
              <w:ind w:left="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15515062865</w:t>
            </w:r>
          </w:p>
        </w:tc>
        <w:tc>
          <w:tcPr>
            <w:tcW w:w="1701" w:type="dxa"/>
            <w:noWrap w:val="0"/>
            <w:vAlign w:val="center"/>
          </w:tcPr>
          <w:p>
            <w:pPr>
              <w:widowControl/>
              <w:spacing w:line="360" w:lineRule="auto"/>
              <w:jc w:val="center"/>
              <w:rPr>
                <w:rFonts w:hint="eastAsia"/>
                <w:szCs w:val="21"/>
              </w:rPr>
            </w:pPr>
            <w:r>
              <w:rPr>
                <w:rFonts w:hint="eastAsia"/>
                <w:szCs w:val="21"/>
              </w:rPr>
              <w:t>劳动定员</w:t>
            </w:r>
          </w:p>
        </w:tc>
        <w:tc>
          <w:tcPr>
            <w:tcW w:w="2177" w:type="dxa"/>
            <w:noWrap w:val="0"/>
            <w:vAlign w:val="center"/>
          </w:tcPr>
          <w:p>
            <w:pPr>
              <w:widowControl/>
              <w:spacing w:line="360" w:lineRule="auto"/>
              <w:jc w:val="center"/>
              <w:rPr>
                <w:szCs w:val="21"/>
              </w:rPr>
            </w:pPr>
            <w:r>
              <w:rPr>
                <w:rFonts w:hint="eastAsia"/>
                <w:szCs w:val="21"/>
                <w:lang w:val="en-US" w:eastAsia="zh-CN"/>
              </w:rPr>
              <w:t>287</w:t>
            </w:r>
            <w:r>
              <w:rPr>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企业规模</w:t>
            </w:r>
          </w:p>
        </w:tc>
        <w:tc>
          <w:tcPr>
            <w:tcW w:w="2856" w:type="dxa"/>
            <w:noWrap w:val="0"/>
            <w:vAlign w:val="center"/>
          </w:tcPr>
          <w:p>
            <w:pPr>
              <w:pStyle w:val="49"/>
              <w:spacing w:line="360" w:lineRule="auto"/>
              <w:ind w:left="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150000Nm³/h合成气</w:t>
            </w:r>
          </w:p>
        </w:tc>
        <w:tc>
          <w:tcPr>
            <w:tcW w:w="1701" w:type="dxa"/>
            <w:noWrap w:val="0"/>
            <w:vAlign w:val="center"/>
          </w:tcPr>
          <w:p>
            <w:pPr>
              <w:widowControl/>
              <w:spacing w:line="360" w:lineRule="auto"/>
              <w:jc w:val="center"/>
              <w:rPr>
                <w:szCs w:val="21"/>
              </w:rPr>
            </w:pPr>
            <w:r>
              <w:rPr>
                <w:szCs w:val="21"/>
              </w:rPr>
              <w:t>占地面积</w:t>
            </w:r>
          </w:p>
        </w:tc>
        <w:tc>
          <w:tcPr>
            <w:tcW w:w="2177" w:type="dxa"/>
            <w:noWrap w:val="0"/>
            <w:vAlign w:val="center"/>
          </w:tcPr>
          <w:p>
            <w:pPr>
              <w:keepNext w:val="0"/>
              <w:keepLines w:val="0"/>
              <w:widowControl/>
              <w:suppressLineNumbers w:val="0"/>
              <w:jc w:val="right"/>
              <w:textAlignment w:val="center"/>
              <w:rPr>
                <w:rFonts w:hint="default"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226393.3</w:t>
            </w:r>
            <w:r>
              <w:rPr>
                <w:rFonts w:hint="eastAsia" w:ascii="宋体" w:hAnsi="宋体" w:cs="宋体"/>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主要原料</w:t>
            </w:r>
          </w:p>
        </w:tc>
        <w:tc>
          <w:tcPr>
            <w:tcW w:w="2856" w:type="dxa"/>
            <w:noWrap w:val="0"/>
            <w:vAlign w:val="center"/>
          </w:tcPr>
          <w:p>
            <w:pPr>
              <w:widowControl/>
              <w:spacing w:line="360" w:lineRule="auto"/>
              <w:jc w:val="center"/>
              <w:rPr>
                <w:rFonts w:hint="eastAsia" w:eastAsia="宋体"/>
                <w:szCs w:val="21"/>
                <w:lang w:eastAsia="zh-CN"/>
              </w:rPr>
            </w:pPr>
            <w:r>
              <w:rPr>
                <w:rFonts w:hint="eastAsia"/>
                <w:szCs w:val="21"/>
                <w:lang w:val="en-US" w:eastAsia="zh-CN"/>
              </w:rPr>
              <w:t>原料煤</w:t>
            </w:r>
          </w:p>
        </w:tc>
        <w:tc>
          <w:tcPr>
            <w:tcW w:w="1701" w:type="dxa"/>
            <w:noWrap w:val="0"/>
            <w:vAlign w:val="center"/>
          </w:tcPr>
          <w:p>
            <w:pPr>
              <w:widowControl/>
              <w:spacing w:line="360" w:lineRule="auto"/>
              <w:jc w:val="center"/>
              <w:rPr>
                <w:szCs w:val="21"/>
              </w:rPr>
            </w:pPr>
            <w:r>
              <w:rPr>
                <w:szCs w:val="21"/>
              </w:rPr>
              <w:t>所属行业</w:t>
            </w:r>
          </w:p>
        </w:tc>
        <w:tc>
          <w:tcPr>
            <w:tcW w:w="2177" w:type="dxa"/>
            <w:noWrap w:val="0"/>
            <w:vAlign w:val="center"/>
          </w:tcPr>
          <w:p>
            <w:pPr>
              <w:widowControl/>
              <w:spacing w:line="360" w:lineRule="auto"/>
              <w:jc w:val="center"/>
              <w:rPr>
                <w:rFonts w:hint="eastAsia" w:eastAsia="宋体"/>
                <w:szCs w:val="21"/>
                <w:lang w:eastAsia="zh-CN"/>
              </w:rPr>
            </w:pPr>
            <w:r>
              <w:rPr>
                <w:rFonts w:hint="eastAsia"/>
                <w:szCs w:val="21"/>
                <w:lang w:val="en-US" w:eastAsia="zh-CN"/>
              </w:rPr>
              <w:t>氮肥制造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主要固体废物</w:t>
            </w:r>
          </w:p>
        </w:tc>
        <w:tc>
          <w:tcPr>
            <w:tcW w:w="6734" w:type="dxa"/>
            <w:gridSpan w:val="3"/>
            <w:noWrap w:val="0"/>
            <w:vAlign w:val="center"/>
          </w:tcPr>
          <w:p>
            <w:pPr>
              <w:widowControl/>
              <w:spacing w:line="360" w:lineRule="auto"/>
              <w:jc w:val="center"/>
              <w:rPr>
                <w:rFonts w:hint="default" w:eastAsia="宋体"/>
                <w:szCs w:val="21"/>
                <w:lang w:val="en-US" w:eastAsia="zh-CN"/>
              </w:rPr>
            </w:pPr>
            <w:r>
              <w:rPr>
                <w:rFonts w:hint="eastAsia"/>
                <w:szCs w:val="21"/>
                <w:lang w:val="en-US" w:eastAsia="zh-CN"/>
              </w:rPr>
              <w:t>灰渣、生活垃圾、危险废物（废催化剂、废矿物油）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经度</w:t>
            </w:r>
          </w:p>
        </w:tc>
        <w:tc>
          <w:tcPr>
            <w:tcW w:w="2856" w:type="dxa"/>
            <w:noWrap w:val="0"/>
            <w:vAlign w:val="center"/>
          </w:tcPr>
          <w:p>
            <w:pPr>
              <w:rPr>
                <w:szCs w:val="21"/>
              </w:rPr>
            </w:pPr>
            <w:r>
              <w:rPr>
                <w:rFonts w:ascii="Times New Roman" w:hAnsi="Times New Roman"/>
              </w:rPr>
              <w:t>114º</w:t>
            </w:r>
            <w:r>
              <w:rPr>
                <w:rFonts w:hint="eastAsia" w:ascii="Times New Roman" w:hAnsi="Times New Roman"/>
              </w:rPr>
              <w:t xml:space="preserve"> </w:t>
            </w:r>
            <w:r>
              <w:rPr>
                <w:rFonts w:ascii="Times New Roman" w:hAnsi="Times New Roman"/>
              </w:rPr>
              <w:t>34′</w:t>
            </w:r>
            <w:r>
              <w:rPr>
                <w:rFonts w:hint="eastAsia" w:ascii="Times New Roman" w:hAnsi="Times New Roman"/>
              </w:rPr>
              <w:t xml:space="preserve"> </w:t>
            </w:r>
            <w:r>
              <w:rPr>
                <w:rFonts w:ascii="Times New Roman" w:hAnsi="Times New Roman"/>
              </w:rPr>
              <w:t>40.48″</w:t>
            </w:r>
          </w:p>
        </w:tc>
        <w:tc>
          <w:tcPr>
            <w:tcW w:w="1701" w:type="dxa"/>
            <w:noWrap w:val="0"/>
            <w:vAlign w:val="center"/>
          </w:tcPr>
          <w:p>
            <w:pPr>
              <w:rPr>
                <w:szCs w:val="21"/>
              </w:rPr>
            </w:pPr>
            <w:r>
              <w:rPr>
                <w:rFonts w:ascii="宋体" w:hAnsi="宋体"/>
              </w:rPr>
              <w:t>纬度</w:t>
            </w:r>
          </w:p>
        </w:tc>
        <w:tc>
          <w:tcPr>
            <w:tcW w:w="2177" w:type="dxa"/>
            <w:noWrap w:val="0"/>
            <w:vAlign w:val="center"/>
          </w:tcPr>
          <w:p>
            <w:pPr>
              <w:rPr>
                <w:szCs w:val="21"/>
              </w:rPr>
            </w:pPr>
            <w:r>
              <w:rPr>
                <w:rFonts w:ascii="Times New Roman" w:hAnsi="Times New Roman"/>
              </w:rPr>
              <w:t>35º</w:t>
            </w:r>
            <w:r>
              <w:rPr>
                <w:rFonts w:hint="eastAsia" w:ascii="Times New Roman" w:hAnsi="Times New Roman"/>
              </w:rPr>
              <w:t xml:space="preserve"> </w:t>
            </w:r>
            <w:r>
              <w:rPr>
                <w:rFonts w:ascii="Times New Roman" w:hAnsi="Times New Roman"/>
              </w:rPr>
              <w:t>31′</w:t>
            </w:r>
            <w:r>
              <w:rPr>
                <w:rFonts w:hint="eastAsia" w:ascii="Times New Roman" w:hAnsi="Times New Roman"/>
              </w:rPr>
              <w:t xml:space="preserve"> </w:t>
            </w:r>
            <w:r>
              <w:rPr>
                <w:rFonts w:ascii="Times New Roman" w:hAnsi="Times New Roman"/>
              </w:rPr>
              <w:t>57.58″</w:t>
            </w:r>
          </w:p>
        </w:tc>
      </w:tr>
    </w:tbl>
    <w:p>
      <w:pPr>
        <w:pStyle w:val="7"/>
        <w:bidi w:val="0"/>
        <w:rPr>
          <w:rFonts w:hint="eastAsia" w:cs="Times New Roman"/>
          <w:lang w:val="en-US" w:eastAsia="zh-CN"/>
        </w:rPr>
      </w:pPr>
      <w:bookmarkStart w:id="23" w:name="_Toc18808"/>
      <w:bookmarkStart w:id="24" w:name="_Toc15241"/>
      <w:r>
        <w:rPr>
          <w:rFonts w:hint="eastAsia" w:cs="Times New Roman"/>
          <w:lang w:val="en-US" w:eastAsia="zh-CN"/>
        </w:rPr>
        <w:t>3.2 企业平面布置</w:t>
      </w:r>
      <w:bookmarkEnd w:id="23"/>
      <w:bookmarkEnd w:id="24"/>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安阳</w:t>
      </w:r>
      <w:r>
        <w:rPr>
          <w:rFonts w:hint="eastAsia" w:ascii="微软雅黑" w:hAnsi="微软雅黑" w:eastAsia="微软雅黑" w:cs="微软雅黑"/>
          <w:color w:val="000000"/>
          <w:sz w:val="22"/>
          <w:szCs w:val="22"/>
        </w:rPr>
        <w:t>盈德</w:t>
      </w:r>
      <w:r>
        <w:rPr>
          <w:rFonts w:hint="eastAsia" w:ascii="微软雅黑" w:hAnsi="微软雅黑" w:eastAsia="微软雅黑" w:cs="微软雅黑"/>
          <w:color w:val="000000"/>
          <w:sz w:val="22"/>
          <w:szCs w:val="22"/>
          <w:lang w:val="en-US" w:eastAsia="zh-CN"/>
        </w:rPr>
        <w:t>气体有限公司（以下简称“</w:t>
      </w:r>
      <w:r>
        <w:rPr>
          <w:rFonts w:hint="eastAsia" w:ascii="微软雅黑" w:hAnsi="微软雅黑" w:eastAsia="微软雅黑" w:cs="微软雅黑"/>
          <w:color w:val="000000"/>
          <w:sz w:val="22"/>
          <w:szCs w:val="22"/>
        </w:rPr>
        <w:t>公司</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所用项目场地大致为长方形，其南北长约550m，南北宽约310m；厂区地势较为平坦，绝对高程在58.1～59.1m之间。</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公司场地东与园区锦华路相邻，路东为宣武庄村，最近处相邻约160m。西为中盈公司。与中盈公司之间为规划的南北大道</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南与园区规划的中盈大道相邻，并与省道S222相接。</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公司</w:t>
      </w:r>
      <w:r>
        <w:rPr>
          <w:rFonts w:hint="eastAsia" w:ascii="微软雅黑" w:hAnsi="微软雅黑" w:eastAsia="微软雅黑" w:cs="微软雅黑"/>
          <w:color w:val="000000"/>
          <w:sz w:val="22"/>
          <w:szCs w:val="22"/>
        </w:rPr>
        <w:t>主要建设内容包括空分系统、合成气制造系统、公用工程、中央控制室、工艺外管、配电系统等设施。</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合成气制造系统由煤气化装置和煤气净化系统等组成。</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配套设置的空分装置生产能力60000Nm</w:t>
      </w:r>
      <w:r>
        <w:rPr>
          <w:rFonts w:hint="eastAsia" w:ascii="微软雅黑" w:hAnsi="微软雅黑" w:eastAsia="微软雅黑" w:cs="微软雅黑"/>
          <w:color w:val="000000"/>
          <w:sz w:val="22"/>
          <w:szCs w:val="22"/>
          <w:vertAlign w:val="superscript"/>
        </w:rPr>
        <w:t>3</w:t>
      </w:r>
      <w:r>
        <w:rPr>
          <w:rFonts w:hint="eastAsia" w:ascii="微软雅黑" w:hAnsi="微软雅黑" w:eastAsia="微软雅黑" w:cs="微软雅黑"/>
          <w:color w:val="000000"/>
          <w:sz w:val="22"/>
          <w:szCs w:val="22"/>
        </w:rPr>
        <w:t>/h，包括空压机、空分装置、空压站等。</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合成气净化系统包括变换、脱硫脱碳、液氮洗、硫回收等；其中，脱硫脱碳采用低温甲醇洗工艺。</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rPr>
        <w:t>公用工程及辅助设施系统包括煤循环水系统、脱盐水系统、净化水系统、污水处理系统以及变配电系统等。</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公司用地按照功能划分，将厂区分为厂前区、生产区两部分。</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厂前区位于项目厂区的南部，与中盈大道相邻，建有办公大楼（含中心化验室、生产调度管理中心）、多功能实验楼等。办公大楼分属盈德、中盈两个公司。</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生产区由南北、东西向各道路分隔成多个相对独立的生产（主要生产、辅助生产系统）与非生产（公用工程系统）街区。其中位于厂区中部的南北向中央大道将盈德公司和中盈公司分开。</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各主项根据生产工艺流程及使用要求进行布置。煤气化布置在盈德公司界区的西北部，其南部依次布置了变换、低温甲醇洗及液氮洗、硫回收，其附设的空分、空压、控制、配电、循环水系统、污水处理及事故水系统在其东侧从北向南依次布置。</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总变电站位于厂区东北角，远离生产装置区，便于进线及管理。</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火炬位于中盈公司界区刀把形拟征场地的最北端，对厂区内的生产设施影响最小。整个装置总图布置按照生产工艺流程，布局顺畅、紧凑、合理。</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为满足后续发展的要求，在部分主项附近预留了后续发展用地。</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厂区布局具体详见附图1：总平面布置图。</w:t>
      </w:r>
    </w:p>
    <w:p>
      <w:pPr>
        <w:keepNext w:val="0"/>
        <w:keepLines w:val="0"/>
        <w:pageBreakBefore w:val="0"/>
        <w:widowControl w:val="0"/>
        <w:kinsoku/>
        <w:wordWrap/>
        <w:overflowPunct/>
        <w:topLinePunct w:val="0"/>
        <w:autoSpaceDE/>
        <w:autoSpaceDN/>
        <w:bidi w:val="0"/>
        <w:adjustRightInd w:val="0"/>
        <w:snapToGrid w:val="0"/>
        <w:spacing w:line="276" w:lineRule="auto"/>
        <w:ind w:firstLine="420" w:firstLineChars="200"/>
        <w:textAlignment w:val="auto"/>
        <w:rPr>
          <w:rFonts w:hint="default"/>
          <w:lang w:val="en-US" w:eastAsia="zh-CN"/>
        </w:rPr>
      </w:pPr>
    </w:p>
    <w:p>
      <w:pPr>
        <w:pStyle w:val="7"/>
        <w:bidi w:val="0"/>
        <w:rPr>
          <w:rFonts w:hint="default" w:cs="Times New Roman"/>
          <w:lang w:val="en-US" w:eastAsia="zh-CN"/>
        </w:rPr>
      </w:pPr>
      <w:bookmarkStart w:id="25" w:name="_Toc10308"/>
      <w:bookmarkStart w:id="26" w:name="_Toc19622"/>
      <w:r>
        <w:rPr>
          <w:rFonts w:hint="eastAsia" w:cs="Times New Roman"/>
          <w:lang w:val="en-US" w:eastAsia="zh-CN"/>
        </w:rPr>
        <w:t>3.3</w:t>
      </w:r>
      <w:r>
        <w:rPr>
          <w:rFonts w:hint="default" w:cs="Times New Roman"/>
          <w:lang w:val="en-US" w:eastAsia="zh-CN"/>
        </w:rPr>
        <w:t>自然环境概况</w:t>
      </w:r>
      <w:bookmarkEnd w:id="25"/>
      <w:bookmarkEnd w:id="26"/>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en-US" w:eastAsia="zh-CN"/>
        </w:rPr>
      </w:pPr>
      <w:r>
        <w:rPr>
          <w:rFonts w:hint="default"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lang w:val="en-US" w:eastAsia="zh-CN"/>
        </w:rPr>
        <w:t>3</w:t>
      </w:r>
      <w:r>
        <w:rPr>
          <w:rFonts w:hint="default" w:ascii="微软雅黑" w:hAnsi="微软雅黑" w:eastAsia="微软雅黑" w:cs="微软雅黑"/>
          <w:color w:val="000000"/>
          <w:sz w:val="22"/>
          <w:szCs w:val="22"/>
          <w:lang w:val="en-US" w:eastAsia="zh-CN"/>
        </w:rPr>
        <w:t>.1 地理位置</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en-US" w:eastAsia="zh-CN"/>
        </w:rPr>
      </w:pPr>
      <w:r>
        <w:rPr>
          <w:rFonts w:hint="default" w:ascii="微软雅黑" w:hAnsi="微软雅黑" w:eastAsia="微软雅黑" w:cs="微软雅黑"/>
          <w:color w:val="000000"/>
          <w:sz w:val="22"/>
          <w:szCs w:val="22"/>
          <w:lang w:val="zh-CN" w:eastAsia="zh-CN"/>
        </w:rPr>
        <w:t>滑县位于河南省东北部，在东经114°23′～59′，北纬35°12′～47′之间，东西长51.1km，南北宽39.5km，为古黄河冲积平原，地处豫北平原，与濮阳、延津、浚县、长垣、封丘、内黄接壤。县城道口镇南距郑州市153km，北距安阳市70km，东北距濮阳市53km，西南距新乡市70km，西北距鹤壁新市区25km，总面积1814km2，人口125万，辖10镇12乡1个新区、1020个行政村。</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en-US" w:eastAsia="zh-CN"/>
        </w:rPr>
      </w:pPr>
      <w:r>
        <w:rPr>
          <w:rFonts w:hint="default"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lang w:val="en-US" w:eastAsia="zh-CN"/>
        </w:rPr>
        <w:t>3</w:t>
      </w:r>
      <w:r>
        <w:rPr>
          <w:rFonts w:hint="default" w:ascii="微软雅黑" w:hAnsi="微软雅黑" w:eastAsia="微软雅黑" w:cs="微软雅黑"/>
          <w:color w:val="000000"/>
          <w:sz w:val="22"/>
          <w:szCs w:val="22"/>
          <w:lang w:val="en-US" w:eastAsia="zh-CN"/>
        </w:rPr>
        <w:t>.2 地形地貌</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滑县处于黄河冲积平原的西部边缘，地势比较平坦，起伏较小，总体呈西南高、东北低之势，海拔在50-65m之间，东西地面比降1/7000，南北地面比降1/5000。由于地处黄河故道，历史上受黄河多次泛滥的影响形成了“九堤、四坡、十八洼”的地形特点。</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en-US" w:eastAsia="zh-CN"/>
        </w:rPr>
      </w:pPr>
      <w:r>
        <w:rPr>
          <w:rFonts w:hint="default"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lang w:val="en-US" w:eastAsia="zh-CN"/>
        </w:rPr>
        <w:t>3</w:t>
      </w:r>
      <w:r>
        <w:rPr>
          <w:rFonts w:hint="default" w:ascii="微软雅黑" w:hAnsi="微软雅黑" w:eastAsia="微软雅黑" w:cs="微软雅黑"/>
          <w:color w:val="000000"/>
          <w:sz w:val="22"/>
          <w:szCs w:val="22"/>
          <w:lang w:val="en-US" w:eastAsia="zh-CN"/>
        </w:rPr>
        <w:t>.3 水文气象</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en-US" w:eastAsia="zh-CN"/>
        </w:rPr>
      </w:pPr>
      <w:r>
        <w:rPr>
          <w:rFonts w:hint="default" w:ascii="微软雅黑" w:hAnsi="微软雅黑" w:eastAsia="微软雅黑" w:cs="微软雅黑"/>
          <w:color w:val="000000"/>
          <w:sz w:val="22"/>
          <w:szCs w:val="22"/>
          <w:lang w:val="en-US" w:eastAsia="zh-CN"/>
        </w:rPr>
        <w:t>（1）气象</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滑县气候为暖温带大陆性气候，光、热、水资源比较丰富，其特点为：春季温暖多风，夏季炎热多雨，秋季凉爽湿润，冬季寒冷干燥，四季分明，雨、热同季，有利于农作物的生长。</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历年气象资料表明，年平均气温为13.7℃,年极端最高气温41.8℃，极端最低气温-19.2℃；年平均降雨量619.7mm，土壤最大冻结深度120mm。年平均风速3.2m/s,最大风速31m/s，主导风向夏季为偏南风，冬季为偏北风，频率分别为31%和26%，静风频率为12.6%。</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（2）水文</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（1）地下水</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滑县地下水较为丰富，在第四系全新统地层中含有8个含水层组。全县95%以上地下水呈弱碱性，pH值在7—9之间，矿化度2g/L以下的地下水占总面积的95.7%，绝大部分水质较好。</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（2）地表水</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流经滑县的地表水大部分属黄河流域，滑县西部及西北部边界地带属卫河水系海河流域。卫河自浚县曹湾村东入滑县县境，经道口桥上村至军庄北复入浚县，境内河长8km。</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金堤河是滑县的主要排洪、排污河道，也是延津、封丘、长垣、濮阳、范县、台前等的一条大型排涝河道。金堤河在滑县境内的主要支流有黄庄河、柳青河、瓦岗河、贾公河、城关河、大功河等。</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黄庄河位于滑县东部，该河自长垣县东角城入滑县县境，在秦寨入金堤河，境内长度32.35km。</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柳青河发源于封丘县，是封丘县全境的主要河流，自半坡店入滑县县境，在田庄与黄庄河汇合，滑县境内全长51.76km，是滑县从西南到东北贯穿全县的最长河流。</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贾公河起于双庙村，在大王庄入金堤河，全长27.5km，流域面积117km2。城关河原名贾公河分洪道，起源于柴郎柳，在白家庄入金堤河，是县城的主要纳污河，河长27.3km，流域面积160km2。</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zh-CN" w:eastAsia="zh-CN"/>
        </w:rPr>
        <w:t>大功河是1958年开挖的大型引黄河道，在封丘县西南部三义寨由黄河引水向东北，自西小庄以下称为金堤河。金堤河流经濮阳县北部纵贯全境后，经范县北部边界、台前县北部，在北张庄入黄河。在滑县境内金堤河流域面积1659km2，境内长度25.9km。金堤河近年来接纳了长垣县、封丘、滑县的大部分工业和城市污水，已失去了工农业使用功能。</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en-US" w:eastAsia="zh-CN"/>
        </w:rPr>
      </w:pPr>
      <w:r>
        <w:rPr>
          <w:rFonts w:hint="default"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lang w:val="en-US" w:eastAsia="zh-CN"/>
        </w:rPr>
        <w:t>3</w:t>
      </w:r>
      <w:r>
        <w:rPr>
          <w:rFonts w:hint="default" w:ascii="微软雅黑" w:hAnsi="微软雅黑" w:eastAsia="微软雅黑" w:cs="微软雅黑"/>
          <w:color w:val="000000"/>
          <w:sz w:val="22"/>
          <w:szCs w:val="22"/>
          <w:lang w:val="en-US" w:eastAsia="zh-CN"/>
        </w:rPr>
        <w:t>.4土壤植被</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default" w:ascii="微软雅黑" w:hAnsi="微软雅黑" w:eastAsia="微软雅黑" w:cs="微软雅黑"/>
          <w:color w:val="000000"/>
          <w:sz w:val="22"/>
          <w:szCs w:val="22"/>
          <w:lang w:val="en-US" w:eastAsia="zh-CN"/>
        </w:rPr>
        <w:t>滑县处于黄河冲积平原，成土母质以黄河冲积母质为主，成土年龄短，质地疏松，多属潮土。土壤结构分为粘土和风沙土两种，东粘西沙。区域内自然植被稀少，</w:t>
      </w:r>
      <w:r>
        <w:rPr>
          <w:rFonts w:hint="default" w:ascii="微软雅黑" w:hAnsi="微软雅黑" w:eastAsia="微软雅黑" w:cs="微软雅黑"/>
          <w:color w:val="000000"/>
          <w:sz w:val="22"/>
          <w:szCs w:val="22"/>
          <w:lang w:val="zh-CN" w:eastAsia="zh-CN"/>
        </w:rPr>
        <w:t>绝大多数为农田，当地主要农作物为小麦、玉米、大豆、棉花、花生等。</w:t>
      </w:r>
    </w:p>
    <w:p>
      <w:pPr>
        <w:pStyle w:val="7"/>
        <w:bidi w:val="0"/>
        <w:rPr>
          <w:rFonts w:hint="default" w:cs="Times New Roman"/>
          <w:lang w:val="zh-CN" w:eastAsia="zh-CN"/>
        </w:rPr>
      </w:pPr>
      <w:bookmarkStart w:id="27" w:name="_Toc401"/>
      <w:bookmarkStart w:id="28" w:name="_Toc31094"/>
      <w:r>
        <w:rPr>
          <w:rFonts w:hint="eastAsia" w:cs="Times New Roman"/>
          <w:lang w:val="en-US" w:eastAsia="zh-CN"/>
        </w:rPr>
        <w:t>3.4 生产工艺、设备及污染防治措施</w:t>
      </w:r>
      <w:bookmarkEnd w:id="27"/>
      <w:bookmarkEnd w:id="28"/>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eastAsia" w:ascii="微软雅黑" w:hAnsi="微软雅黑" w:eastAsia="微软雅黑" w:cs="微软雅黑"/>
          <w:color w:val="000000"/>
          <w:sz w:val="22"/>
          <w:szCs w:val="22"/>
          <w:lang w:val="en-US" w:eastAsia="zh-CN"/>
        </w:rPr>
        <w:t xml:space="preserve">3.4.1 </w:t>
      </w:r>
      <w:r>
        <w:rPr>
          <w:rFonts w:hint="default" w:ascii="微软雅黑" w:hAnsi="微软雅黑" w:eastAsia="微软雅黑" w:cs="微软雅黑"/>
          <w:color w:val="000000"/>
          <w:sz w:val="22"/>
          <w:szCs w:val="22"/>
          <w:lang w:val="zh-CN" w:eastAsia="zh-CN"/>
        </w:rPr>
        <w:t>主要原辅材料情况</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zh-CN" w:eastAsia="zh-CN"/>
        </w:rPr>
      </w:pPr>
      <w:r>
        <w:rPr>
          <w:rFonts w:hint="eastAsia" w:ascii="微软雅黑" w:hAnsi="微软雅黑" w:eastAsia="微软雅黑" w:cs="微软雅黑"/>
          <w:color w:val="000000"/>
          <w:sz w:val="22"/>
          <w:szCs w:val="22"/>
          <w:lang w:val="en-US" w:eastAsia="zh-CN"/>
        </w:rPr>
        <w:t>企业生产主要</w:t>
      </w:r>
      <w:r>
        <w:rPr>
          <w:rFonts w:hint="default" w:ascii="微软雅黑" w:hAnsi="微软雅黑" w:eastAsia="微软雅黑" w:cs="微软雅黑"/>
          <w:color w:val="000000"/>
          <w:sz w:val="22"/>
          <w:szCs w:val="22"/>
          <w:lang w:val="zh-CN" w:eastAsia="zh-CN"/>
        </w:rPr>
        <w:t>原辅材料</w:t>
      </w:r>
      <w:r>
        <w:rPr>
          <w:rFonts w:hint="eastAsia" w:ascii="微软雅黑" w:hAnsi="微软雅黑" w:eastAsia="微软雅黑" w:cs="微软雅黑"/>
          <w:color w:val="000000"/>
          <w:sz w:val="22"/>
          <w:szCs w:val="22"/>
          <w:lang w:val="zh-CN" w:eastAsia="zh-CN"/>
        </w:rPr>
        <w:t>、</w:t>
      </w:r>
      <w:r>
        <w:rPr>
          <w:rFonts w:hint="eastAsia" w:ascii="微软雅黑" w:hAnsi="微软雅黑" w:eastAsia="微软雅黑" w:cs="微软雅黑"/>
          <w:color w:val="000000"/>
          <w:sz w:val="22"/>
          <w:szCs w:val="22"/>
          <w:lang w:val="en-US" w:eastAsia="zh-CN"/>
        </w:rPr>
        <w:t>动力</w:t>
      </w:r>
      <w:r>
        <w:rPr>
          <w:rFonts w:hint="default" w:ascii="微软雅黑" w:hAnsi="微软雅黑" w:eastAsia="微软雅黑" w:cs="微软雅黑"/>
          <w:color w:val="000000"/>
          <w:sz w:val="22"/>
          <w:szCs w:val="22"/>
          <w:lang w:val="zh-CN" w:eastAsia="zh-CN"/>
        </w:rPr>
        <w:t>消耗见</w:t>
      </w:r>
      <w:r>
        <w:rPr>
          <w:rFonts w:hint="eastAsia" w:ascii="微软雅黑" w:hAnsi="微软雅黑" w:eastAsia="微软雅黑" w:cs="微软雅黑"/>
          <w:color w:val="000000"/>
          <w:sz w:val="22"/>
          <w:szCs w:val="22"/>
          <w:lang w:val="en-US" w:eastAsia="zh-CN"/>
        </w:rPr>
        <w:t>下</w:t>
      </w:r>
      <w:r>
        <w:rPr>
          <w:rFonts w:hint="default" w:ascii="微软雅黑" w:hAnsi="微软雅黑" w:eastAsia="微软雅黑" w:cs="微软雅黑"/>
          <w:color w:val="000000"/>
          <w:sz w:val="22"/>
          <w:szCs w:val="22"/>
          <w:lang w:val="zh-CN" w:eastAsia="zh-CN"/>
        </w:rPr>
        <w:t xml:space="preserve">表。 </w:t>
      </w:r>
    </w:p>
    <w:p>
      <w:pPr>
        <w:spacing w:line="500" w:lineRule="exact"/>
        <w:ind w:firstLine="48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表2</w:t>
      </w:r>
      <w:r>
        <w:rPr>
          <w:rFonts w:hint="eastAsia" w:ascii="Times New Roman" w:hAnsi="Times New Roman" w:cs="Times New Roman"/>
          <w:b w:val="0"/>
          <w:bCs w:val="0"/>
          <w:color w:val="000000"/>
          <w:sz w:val="21"/>
          <w:szCs w:val="21"/>
          <w:lang w:val="en-US" w:eastAsia="zh-CN"/>
        </w:rPr>
        <w:t xml:space="preserve"> </w:t>
      </w:r>
      <w:r>
        <w:rPr>
          <w:rFonts w:hint="default" w:ascii="Times New Roman" w:hAnsi="Times New Roman" w:eastAsia="宋体" w:cs="Times New Roman"/>
          <w:b w:val="0"/>
          <w:bCs w:val="0"/>
          <w:color w:val="000000"/>
          <w:sz w:val="21"/>
          <w:szCs w:val="21"/>
        </w:rPr>
        <w:t xml:space="preserve"> 主要原辅材料</w:t>
      </w:r>
      <w:r>
        <w:rPr>
          <w:rFonts w:hint="eastAsia" w:ascii="Times New Roman" w:hAnsi="Times New Roman" w:cs="Times New Roman"/>
          <w:b w:val="0"/>
          <w:bCs w:val="0"/>
          <w:color w:val="000000"/>
          <w:sz w:val="21"/>
          <w:szCs w:val="21"/>
          <w:lang w:eastAsia="zh-CN"/>
        </w:rPr>
        <w:t>、</w:t>
      </w:r>
      <w:r>
        <w:rPr>
          <w:rFonts w:hint="eastAsia" w:ascii="Times New Roman" w:hAnsi="Times New Roman" w:cs="Times New Roman"/>
          <w:b w:val="0"/>
          <w:bCs w:val="0"/>
          <w:color w:val="000000"/>
          <w:sz w:val="21"/>
          <w:szCs w:val="21"/>
          <w:lang w:val="en-US" w:eastAsia="zh-CN"/>
        </w:rPr>
        <w:t>动力</w:t>
      </w:r>
      <w:r>
        <w:rPr>
          <w:rFonts w:hint="default" w:ascii="Times New Roman" w:hAnsi="Times New Roman" w:eastAsia="宋体" w:cs="Times New Roman"/>
          <w:b w:val="0"/>
          <w:bCs w:val="0"/>
          <w:color w:val="000000"/>
          <w:sz w:val="21"/>
          <w:szCs w:val="21"/>
        </w:rPr>
        <w:t>消耗一览表</w:t>
      </w:r>
    </w:p>
    <w:tbl>
      <w:tblPr>
        <w:tblStyle w:val="2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665"/>
        <w:gridCol w:w="709"/>
        <w:gridCol w:w="2126"/>
        <w:gridCol w:w="1446"/>
        <w:gridCol w:w="1788"/>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szCs w:val="21"/>
              </w:rPr>
            </w:pPr>
            <w:r>
              <w:rPr>
                <w:rFonts w:hAnsi="宋体"/>
                <w:szCs w:val="21"/>
              </w:rPr>
              <w:t>序号</w:t>
            </w:r>
          </w:p>
        </w:tc>
        <w:tc>
          <w:tcPr>
            <w:tcW w:w="665" w:type="dxa"/>
            <w:noWrap w:val="0"/>
            <w:vAlign w:val="center"/>
          </w:tcPr>
          <w:p>
            <w:pPr>
              <w:spacing w:line="300" w:lineRule="exact"/>
              <w:jc w:val="center"/>
              <w:rPr>
                <w:szCs w:val="21"/>
              </w:rPr>
            </w:pPr>
            <w:r>
              <w:rPr>
                <w:rFonts w:hAnsi="宋体"/>
                <w:szCs w:val="21"/>
              </w:rPr>
              <w:t>名称</w:t>
            </w:r>
          </w:p>
        </w:tc>
        <w:tc>
          <w:tcPr>
            <w:tcW w:w="709" w:type="dxa"/>
            <w:noWrap w:val="0"/>
            <w:vAlign w:val="center"/>
          </w:tcPr>
          <w:p>
            <w:pPr>
              <w:spacing w:line="300" w:lineRule="exact"/>
              <w:jc w:val="center"/>
              <w:rPr>
                <w:rFonts w:hint="eastAsia" w:hAnsi="宋体"/>
                <w:szCs w:val="21"/>
              </w:rPr>
            </w:pPr>
            <w:r>
              <w:rPr>
                <w:rFonts w:hint="eastAsia" w:hAnsi="宋体"/>
                <w:szCs w:val="21"/>
              </w:rPr>
              <w:t>装置</w:t>
            </w:r>
          </w:p>
        </w:tc>
        <w:tc>
          <w:tcPr>
            <w:tcW w:w="2126" w:type="dxa"/>
            <w:noWrap w:val="0"/>
            <w:vAlign w:val="center"/>
          </w:tcPr>
          <w:p>
            <w:pPr>
              <w:spacing w:line="300" w:lineRule="exact"/>
              <w:jc w:val="center"/>
              <w:rPr>
                <w:szCs w:val="21"/>
              </w:rPr>
            </w:pPr>
            <w:r>
              <w:rPr>
                <w:rFonts w:hAnsi="宋体"/>
                <w:szCs w:val="21"/>
              </w:rPr>
              <w:t>品种</w:t>
            </w:r>
          </w:p>
        </w:tc>
        <w:tc>
          <w:tcPr>
            <w:tcW w:w="1446" w:type="dxa"/>
            <w:noWrap w:val="0"/>
            <w:vAlign w:val="center"/>
          </w:tcPr>
          <w:p>
            <w:pPr>
              <w:spacing w:line="300" w:lineRule="exact"/>
              <w:jc w:val="center"/>
              <w:rPr>
                <w:szCs w:val="21"/>
              </w:rPr>
            </w:pPr>
            <w:r>
              <w:rPr>
                <w:rFonts w:hAnsi="宋体"/>
                <w:szCs w:val="21"/>
              </w:rPr>
              <w:t>牌号或规格</w:t>
            </w:r>
          </w:p>
        </w:tc>
        <w:tc>
          <w:tcPr>
            <w:tcW w:w="1788" w:type="dxa"/>
            <w:noWrap w:val="0"/>
            <w:vAlign w:val="center"/>
          </w:tcPr>
          <w:p>
            <w:pPr>
              <w:spacing w:line="300" w:lineRule="exact"/>
              <w:jc w:val="center"/>
              <w:rPr>
                <w:szCs w:val="21"/>
              </w:rPr>
            </w:pPr>
            <w:r>
              <w:rPr>
                <w:rFonts w:hAnsi="宋体"/>
                <w:szCs w:val="21"/>
              </w:rPr>
              <w:t>用量</w:t>
            </w:r>
            <w:r>
              <w:rPr>
                <w:szCs w:val="21"/>
              </w:rPr>
              <w:t>/</w:t>
            </w:r>
          </w:p>
          <w:p>
            <w:pPr>
              <w:spacing w:line="300" w:lineRule="exact"/>
              <w:jc w:val="center"/>
              <w:rPr>
                <w:szCs w:val="21"/>
              </w:rPr>
            </w:pPr>
            <w:r>
              <w:rPr>
                <w:rFonts w:hAnsi="宋体"/>
                <w:szCs w:val="21"/>
              </w:rPr>
              <w:t>一次装填量</w:t>
            </w:r>
          </w:p>
        </w:tc>
        <w:tc>
          <w:tcPr>
            <w:tcW w:w="1783" w:type="dxa"/>
            <w:noWrap w:val="0"/>
            <w:vAlign w:val="center"/>
          </w:tcPr>
          <w:p>
            <w:pPr>
              <w:spacing w:line="300" w:lineRule="exact"/>
              <w:jc w:val="center"/>
              <w:rPr>
                <w:szCs w:val="21"/>
              </w:rPr>
            </w:pPr>
            <w:r>
              <w:rPr>
                <w:rFonts w:hAnsi="宋体"/>
                <w:szCs w:val="21"/>
              </w:rPr>
              <w:t>备</w:t>
            </w:r>
            <w:r>
              <w:rPr>
                <w:szCs w:val="21"/>
              </w:rPr>
              <w:t xml:space="preserve">  </w:t>
            </w:r>
            <w:r>
              <w:rPr>
                <w:rFonts w:hAnsi="宋体"/>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szCs w:val="21"/>
              </w:rPr>
            </w:pPr>
            <w:r>
              <w:rPr>
                <w:szCs w:val="21"/>
              </w:rPr>
              <w:t>1</w:t>
            </w:r>
          </w:p>
        </w:tc>
        <w:tc>
          <w:tcPr>
            <w:tcW w:w="665" w:type="dxa"/>
            <w:vMerge w:val="restart"/>
            <w:noWrap w:val="0"/>
            <w:vAlign w:val="center"/>
          </w:tcPr>
          <w:p>
            <w:pPr>
              <w:spacing w:line="300" w:lineRule="exact"/>
              <w:jc w:val="center"/>
              <w:rPr>
                <w:rFonts w:hint="eastAsia" w:hAnsi="宋体"/>
                <w:szCs w:val="21"/>
              </w:rPr>
            </w:pPr>
            <w:r>
              <w:rPr>
                <w:rFonts w:hAnsi="宋体"/>
                <w:szCs w:val="21"/>
              </w:rPr>
              <w:t>原</w:t>
            </w:r>
          </w:p>
          <w:p>
            <w:pPr>
              <w:spacing w:line="300" w:lineRule="exact"/>
              <w:jc w:val="center"/>
              <w:rPr>
                <w:rFonts w:hint="eastAsia" w:hAnsi="宋体"/>
                <w:szCs w:val="21"/>
              </w:rPr>
            </w:pPr>
            <w:r>
              <w:rPr>
                <w:rFonts w:hAnsi="宋体"/>
                <w:szCs w:val="21"/>
              </w:rPr>
              <w:t>辅</w:t>
            </w:r>
          </w:p>
          <w:p>
            <w:pPr>
              <w:spacing w:line="300" w:lineRule="exact"/>
              <w:jc w:val="center"/>
              <w:rPr>
                <w:rFonts w:hint="eastAsia" w:hAnsi="宋体"/>
                <w:szCs w:val="21"/>
              </w:rPr>
            </w:pPr>
            <w:r>
              <w:rPr>
                <w:rFonts w:hAnsi="宋体"/>
                <w:szCs w:val="21"/>
              </w:rPr>
              <w:t>材</w:t>
            </w:r>
          </w:p>
          <w:p>
            <w:pPr>
              <w:spacing w:line="300" w:lineRule="exact"/>
              <w:jc w:val="center"/>
              <w:rPr>
                <w:szCs w:val="21"/>
              </w:rPr>
            </w:pPr>
            <w:r>
              <w:rPr>
                <w:rFonts w:hAnsi="宋体"/>
                <w:szCs w:val="21"/>
              </w:rPr>
              <w:t>料</w:t>
            </w:r>
          </w:p>
        </w:tc>
        <w:tc>
          <w:tcPr>
            <w:tcW w:w="709" w:type="dxa"/>
            <w:vMerge w:val="restart"/>
            <w:noWrap w:val="0"/>
            <w:vAlign w:val="center"/>
          </w:tcPr>
          <w:p>
            <w:pPr>
              <w:spacing w:line="300" w:lineRule="exact"/>
              <w:jc w:val="center"/>
              <w:rPr>
                <w:rFonts w:hint="eastAsia" w:hAnsi="宋体"/>
                <w:szCs w:val="21"/>
              </w:rPr>
            </w:pPr>
            <w:r>
              <w:rPr>
                <w:rFonts w:hint="eastAsia" w:hAnsi="宋体"/>
                <w:szCs w:val="21"/>
              </w:rPr>
              <w:t>合</w:t>
            </w:r>
          </w:p>
          <w:p>
            <w:pPr>
              <w:spacing w:line="300" w:lineRule="exact"/>
              <w:jc w:val="center"/>
              <w:rPr>
                <w:rFonts w:hint="eastAsia" w:hAnsi="宋体"/>
                <w:szCs w:val="21"/>
              </w:rPr>
            </w:pPr>
            <w:r>
              <w:rPr>
                <w:rFonts w:hint="eastAsia" w:hAnsi="宋体"/>
                <w:szCs w:val="21"/>
              </w:rPr>
              <w:t>成</w:t>
            </w:r>
          </w:p>
          <w:p>
            <w:pPr>
              <w:spacing w:line="300" w:lineRule="exact"/>
              <w:jc w:val="center"/>
              <w:rPr>
                <w:rFonts w:hint="eastAsia" w:hAnsi="宋体"/>
                <w:szCs w:val="21"/>
              </w:rPr>
            </w:pPr>
            <w:r>
              <w:rPr>
                <w:rFonts w:hint="eastAsia" w:hAnsi="宋体"/>
                <w:szCs w:val="21"/>
              </w:rPr>
              <w:t>气</w:t>
            </w:r>
          </w:p>
        </w:tc>
        <w:tc>
          <w:tcPr>
            <w:tcW w:w="2126" w:type="dxa"/>
            <w:noWrap w:val="0"/>
            <w:vAlign w:val="center"/>
          </w:tcPr>
          <w:p>
            <w:pPr>
              <w:spacing w:line="300" w:lineRule="exact"/>
              <w:jc w:val="center"/>
              <w:rPr>
                <w:rFonts w:hint="eastAsia"/>
                <w:szCs w:val="21"/>
              </w:rPr>
            </w:pPr>
            <w:r>
              <w:rPr>
                <w:rFonts w:hAnsi="宋体"/>
                <w:szCs w:val="21"/>
              </w:rPr>
              <w:t>原料煤</w:t>
            </w:r>
          </w:p>
        </w:tc>
        <w:tc>
          <w:tcPr>
            <w:tcW w:w="1446" w:type="dxa"/>
            <w:noWrap w:val="0"/>
            <w:vAlign w:val="center"/>
          </w:tcPr>
          <w:p>
            <w:pPr>
              <w:spacing w:line="300" w:lineRule="exact"/>
              <w:jc w:val="center"/>
              <w:rPr>
                <w:rFonts w:hint="eastAsia"/>
                <w:szCs w:val="21"/>
              </w:rPr>
            </w:pPr>
            <w:r>
              <w:rPr>
                <w:rFonts w:hint="eastAsia"/>
                <w:szCs w:val="21"/>
              </w:rPr>
              <w:t>干基</w:t>
            </w:r>
          </w:p>
        </w:tc>
        <w:tc>
          <w:tcPr>
            <w:tcW w:w="1788" w:type="dxa"/>
            <w:noWrap w:val="0"/>
            <w:vAlign w:val="center"/>
          </w:tcPr>
          <w:p>
            <w:pPr>
              <w:spacing w:line="300" w:lineRule="exact"/>
              <w:jc w:val="center"/>
              <w:rPr>
                <w:szCs w:val="21"/>
              </w:rPr>
            </w:pPr>
            <w:r>
              <w:rPr>
                <w:rFonts w:hint="eastAsia" w:ascii="宋体"/>
              </w:rPr>
              <w:t>722204</w:t>
            </w:r>
            <w:r>
              <w:rPr>
                <w:szCs w:val="21"/>
              </w:rPr>
              <w:t>t/a</w:t>
            </w:r>
          </w:p>
        </w:tc>
        <w:tc>
          <w:tcPr>
            <w:tcW w:w="1783" w:type="dxa"/>
            <w:noWrap w:val="0"/>
            <w:vAlign w:val="center"/>
          </w:tcPr>
          <w:p>
            <w:pPr>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2</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spacing w:line="300" w:lineRule="exact"/>
              <w:jc w:val="center"/>
              <w:rPr>
                <w:rFonts w:hint="eastAsia" w:ascii="宋体" w:hAnsi="宋体"/>
              </w:rPr>
            </w:pPr>
          </w:p>
        </w:tc>
        <w:tc>
          <w:tcPr>
            <w:tcW w:w="2126" w:type="dxa"/>
            <w:noWrap w:val="0"/>
            <w:vAlign w:val="center"/>
          </w:tcPr>
          <w:p>
            <w:pPr>
              <w:spacing w:line="300" w:lineRule="exact"/>
              <w:jc w:val="center"/>
              <w:rPr>
                <w:szCs w:val="21"/>
              </w:rPr>
            </w:pPr>
            <w:r>
              <w:rPr>
                <w:rFonts w:hint="eastAsia" w:ascii="宋体" w:hAnsi="宋体"/>
              </w:rPr>
              <w:t>变换过滤脱毒剂</w:t>
            </w:r>
          </w:p>
        </w:tc>
        <w:tc>
          <w:tcPr>
            <w:tcW w:w="1446" w:type="dxa"/>
            <w:noWrap w:val="0"/>
            <w:vAlign w:val="center"/>
          </w:tcPr>
          <w:p>
            <w:pPr>
              <w:spacing w:line="300" w:lineRule="exact"/>
              <w:jc w:val="center"/>
              <w:rPr>
                <w:szCs w:val="21"/>
              </w:rPr>
            </w:pPr>
          </w:p>
        </w:tc>
        <w:tc>
          <w:tcPr>
            <w:tcW w:w="1788" w:type="dxa"/>
            <w:noWrap w:val="0"/>
            <w:vAlign w:val="center"/>
          </w:tcPr>
          <w:p>
            <w:pPr>
              <w:spacing w:line="300" w:lineRule="exact"/>
              <w:jc w:val="center"/>
              <w:rPr>
                <w:szCs w:val="21"/>
              </w:rPr>
            </w:pPr>
            <w:r>
              <w:rPr>
                <w:rFonts w:hint="eastAsia"/>
                <w:szCs w:val="21"/>
              </w:rPr>
              <w:t>20</w:t>
            </w:r>
            <w:r>
              <w:rPr>
                <w:color w:val="000000"/>
                <w:szCs w:val="21"/>
              </w:rPr>
              <w:t xml:space="preserve"> m</w:t>
            </w:r>
            <w:r>
              <w:rPr>
                <w:color w:val="000000"/>
                <w:szCs w:val="21"/>
                <w:vertAlign w:val="superscript"/>
              </w:rPr>
              <w:t>3</w:t>
            </w:r>
          </w:p>
        </w:tc>
        <w:tc>
          <w:tcPr>
            <w:tcW w:w="1783" w:type="dxa"/>
            <w:noWrap w:val="0"/>
            <w:vAlign w:val="center"/>
          </w:tcPr>
          <w:p>
            <w:pPr>
              <w:jc w:val="center"/>
              <w:rPr>
                <w:szCs w:val="21"/>
              </w:rPr>
            </w:pPr>
            <w:r>
              <w:rPr>
                <w:rFonts w:hAnsi="宋体"/>
                <w:szCs w:val="21"/>
              </w:rPr>
              <w:t>使用寿命</w:t>
            </w:r>
            <w:r>
              <w:rPr>
                <w:szCs w:val="21"/>
              </w:rPr>
              <w:t>4</w:t>
            </w:r>
            <w:r>
              <w:rPr>
                <w:rFonts w:hint="eastAsia"/>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3</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ascii="宋体" w:hAnsi="宋体"/>
              </w:rPr>
            </w:pPr>
          </w:p>
        </w:tc>
        <w:tc>
          <w:tcPr>
            <w:tcW w:w="2126" w:type="dxa"/>
            <w:noWrap w:val="0"/>
            <w:vAlign w:val="center"/>
          </w:tcPr>
          <w:p>
            <w:pPr>
              <w:jc w:val="center"/>
              <w:rPr>
                <w:rFonts w:hint="eastAsia" w:ascii="宋体" w:hAnsi="宋体"/>
              </w:rPr>
            </w:pPr>
            <w:r>
              <w:rPr>
                <w:rFonts w:hint="eastAsia" w:ascii="宋体" w:hAnsi="宋体"/>
              </w:rPr>
              <w:t>变换</w:t>
            </w:r>
            <w:r>
              <w:rPr>
                <w:rFonts w:ascii="宋体" w:hAnsi="宋体"/>
              </w:rPr>
              <w:t>催化剂</w:t>
            </w:r>
          </w:p>
        </w:tc>
        <w:tc>
          <w:tcPr>
            <w:tcW w:w="1446" w:type="dxa"/>
            <w:noWrap w:val="0"/>
            <w:vAlign w:val="center"/>
          </w:tcPr>
          <w:p>
            <w:pPr>
              <w:spacing w:line="300" w:lineRule="exact"/>
              <w:jc w:val="center"/>
              <w:rPr>
                <w:szCs w:val="21"/>
              </w:rPr>
            </w:pPr>
            <w:r>
              <w:rPr>
                <w:rFonts w:hint="eastAsia" w:ascii="宋体" w:hAnsi="宋体"/>
              </w:rPr>
              <w:t>宽温</w:t>
            </w:r>
          </w:p>
        </w:tc>
        <w:tc>
          <w:tcPr>
            <w:tcW w:w="1788" w:type="dxa"/>
            <w:noWrap w:val="0"/>
            <w:vAlign w:val="center"/>
          </w:tcPr>
          <w:p>
            <w:pPr>
              <w:jc w:val="center"/>
              <w:rPr>
                <w:rFonts w:hint="eastAsia"/>
                <w:szCs w:val="21"/>
              </w:rPr>
            </w:pPr>
            <w:r>
              <w:rPr>
                <w:rFonts w:hint="eastAsia"/>
                <w:szCs w:val="21"/>
              </w:rPr>
              <w:t>79</w:t>
            </w:r>
            <w:r>
              <w:rPr>
                <w:color w:val="000000"/>
                <w:szCs w:val="21"/>
              </w:rPr>
              <w:t xml:space="preserve"> m</w:t>
            </w:r>
            <w:r>
              <w:rPr>
                <w:color w:val="000000"/>
                <w:szCs w:val="21"/>
                <w:vertAlign w:val="superscript"/>
              </w:rPr>
              <w:t>3</w:t>
            </w:r>
          </w:p>
        </w:tc>
        <w:tc>
          <w:tcPr>
            <w:tcW w:w="1783" w:type="dxa"/>
            <w:noWrap w:val="0"/>
            <w:vAlign w:val="center"/>
          </w:tcPr>
          <w:p>
            <w:pPr>
              <w:jc w:val="center"/>
              <w:rPr>
                <w:szCs w:val="21"/>
              </w:rPr>
            </w:pPr>
            <w:r>
              <w:rPr>
                <w:rFonts w:hAnsi="宋体"/>
                <w:szCs w:val="21"/>
              </w:rPr>
              <w:t>使用寿命</w:t>
            </w:r>
            <w:r>
              <w:rPr>
                <w:rFonts w:hint="eastAsia"/>
                <w:szCs w:val="21"/>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4</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ascii="宋体" w:hAnsi="宋体"/>
              </w:rPr>
            </w:pPr>
          </w:p>
        </w:tc>
        <w:tc>
          <w:tcPr>
            <w:tcW w:w="2126" w:type="dxa"/>
            <w:noWrap w:val="0"/>
            <w:vAlign w:val="center"/>
          </w:tcPr>
          <w:p>
            <w:pPr>
              <w:jc w:val="center"/>
              <w:rPr>
                <w:rFonts w:hint="eastAsia" w:ascii="宋体" w:hAnsi="宋体"/>
              </w:rPr>
            </w:pPr>
            <w:r>
              <w:rPr>
                <w:rFonts w:hint="eastAsia" w:ascii="宋体" w:hAnsi="宋体"/>
              </w:rPr>
              <w:t>变换</w:t>
            </w:r>
            <w:r>
              <w:rPr>
                <w:rFonts w:ascii="宋体" w:hAnsi="宋体"/>
              </w:rPr>
              <w:t>催化剂</w:t>
            </w:r>
          </w:p>
        </w:tc>
        <w:tc>
          <w:tcPr>
            <w:tcW w:w="1446" w:type="dxa"/>
            <w:noWrap w:val="0"/>
            <w:vAlign w:val="center"/>
          </w:tcPr>
          <w:p>
            <w:pPr>
              <w:spacing w:line="300" w:lineRule="exact"/>
              <w:jc w:val="center"/>
              <w:rPr>
                <w:szCs w:val="21"/>
              </w:rPr>
            </w:pPr>
            <w:r>
              <w:rPr>
                <w:rFonts w:hint="eastAsia" w:ascii="宋体" w:hAnsi="宋体"/>
              </w:rPr>
              <w:t>低温</w:t>
            </w:r>
          </w:p>
        </w:tc>
        <w:tc>
          <w:tcPr>
            <w:tcW w:w="1788" w:type="dxa"/>
            <w:noWrap w:val="0"/>
            <w:vAlign w:val="center"/>
          </w:tcPr>
          <w:p>
            <w:pPr>
              <w:jc w:val="center"/>
              <w:rPr>
                <w:rFonts w:hint="eastAsia"/>
                <w:szCs w:val="21"/>
              </w:rPr>
            </w:pPr>
            <w:r>
              <w:rPr>
                <w:rFonts w:hint="eastAsia"/>
                <w:szCs w:val="21"/>
              </w:rPr>
              <w:t>140</w:t>
            </w:r>
            <w:r>
              <w:rPr>
                <w:color w:val="000000"/>
                <w:szCs w:val="21"/>
              </w:rPr>
              <w:t xml:space="preserve"> m</w:t>
            </w:r>
            <w:r>
              <w:rPr>
                <w:color w:val="000000"/>
                <w:szCs w:val="21"/>
                <w:vertAlign w:val="superscript"/>
              </w:rPr>
              <w:t>3</w:t>
            </w:r>
          </w:p>
        </w:tc>
        <w:tc>
          <w:tcPr>
            <w:tcW w:w="1783" w:type="dxa"/>
            <w:noWrap w:val="0"/>
            <w:vAlign w:val="center"/>
          </w:tcPr>
          <w:p>
            <w:pPr>
              <w:jc w:val="center"/>
              <w:rPr>
                <w:szCs w:val="21"/>
              </w:rPr>
            </w:pPr>
            <w:r>
              <w:rPr>
                <w:rFonts w:hAnsi="宋体"/>
                <w:szCs w:val="21"/>
              </w:rPr>
              <w:t>使用寿命</w:t>
            </w:r>
            <w:r>
              <w:rPr>
                <w:szCs w:val="21"/>
              </w:rPr>
              <w:t>4</w:t>
            </w:r>
            <w:r>
              <w:rPr>
                <w:rFonts w:hint="eastAsia"/>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5</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ascii="宋体"/>
              </w:rPr>
            </w:pPr>
          </w:p>
        </w:tc>
        <w:tc>
          <w:tcPr>
            <w:tcW w:w="2126" w:type="dxa"/>
            <w:noWrap w:val="0"/>
            <w:vAlign w:val="center"/>
          </w:tcPr>
          <w:p>
            <w:pPr>
              <w:jc w:val="center"/>
              <w:rPr>
                <w:rFonts w:hint="eastAsia" w:ascii="宋体" w:hAnsi="宋体"/>
              </w:rPr>
            </w:pPr>
            <w:r>
              <w:rPr>
                <w:rFonts w:hint="eastAsia" w:ascii="宋体"/>
              </w:rPr>
              <w:t>液氮洗分子筛</w:t>
            </w:r>
          </w:p>
        </w:tc>
        <w:tc>
          <w:tcPr>
            <w:tcW w:w="1446" w:type="dxa"/>
            <w:noWrap w:val="0"/>
            <w:vAlign w:val="center"/>
          </w:tcPr>
          <w:p>
            <w:pPr>
              <w:spacing w:line="300" w:lineRule="exact"/>
              <w:jc w:val="center"/>
              <w:rPr>
                <w:szCs w:val="21"/>
              </w:rPr>
            </w:pPr>
          </w:p>
        </w:tc>
        <w:tc>
          <w:tcPr>
            <w:tcW w:w="1788" w:type="dxa"/>
            <w:noWrap w:val="0"/>
            <w:vAlign w:val="center"/>
          </w:tcPr>
          <w:p>
            <w:pPr>
              <w:jc w:val="center"/>
              <w:rPr>
                <w:rFonts w:hint="eastAsia"/>
                <w:szCs w:val="21"/>
              </w:rPr>
            </w:pPr>
            <w:r>
              <w:rPr>
                <w:rFonts w:hint="eastAsia"/>
                <w:szCs w:val="21"/>
              </w:rPr>
              <w:t>30</w:t>
            </w:r>
            <w:r>
              <w:rPr>
                <w:color w:val="000000"/>
                <w:szCs w:val="21"/>
              </w:rPr>
              <w:t xml:space="preserve"> m</w:t>
            </w:r>
            <w:r>
              <w:rPr>
                <w:color w:val="000000"/>
                <w:szCs w:val="21"/>
                <w:vertAlign w:val="superscript"/>
              </w:rPr>
              <w:t>3</w:t>
            </w:r>
          </w:p>
        </w:tc>
        <w:tc>
          <w:tcPr>
            <w:tcW w:w="1783" w:type="dxa"/>
            <w:noWrap w:val="0"/>
            <w:vAlign w:val="center"/>
          </w:tcPr>
          <w:p>
            <w:pPr>
              <w:jc w:val="center"/>
              <w:rPr>
                <w:szCs w:val="21"/>
              </w:rPr>
            </w:pPr>
            <w:r>
              <w:rPr>
                <w:rFonts w:hAnsi="宋体"/>
                <w:szCs w:val="21"/>
              </w:rPr>
              <w:t>使用寿命</w:t>
            </w:r>
            <w:r>
              <w:rPr>
                <w:szCs w:val="21"/>
              </w:rPr>
              <w:t>4</w:t>
            </w:r>
            <w:r>
              <w:rPr>
                <w:rFonts w:hint="eastAsia"/>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6</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ascii="宋体"/>
              </w:rPr>
            </w:pPr>
          </w:p>
        </w:tc>
        <w:tc>
          <w:tcPr>
            <w:tcW w:w="2126" w:type="dxa"/>
            <w:noWrap w:val="0"/>
            <w:vAlign w:val="top"/>
          </w:tcPr>
          <w:p>
            <w:pPr>
              <w:jc w:val="center"/>
              <w:rPr>
                <w:rFonts w:hint="eastAsia" w:ascii="宋体"/>
              </w:rPr>
            </w:pPr>
            <w:r>
              <w:rPr>
                <w:rFonts w:hint="eastAsia" w:ascii="宋体"/>
              </w:rPr>
              <w:t>克劳斯催化剂</w:t>
            </w:r>
          </w:p>
        </w:tc>
        <w:tc>
          <w:tcPr>
            <w:tcW w:w="1446" w:type="dxa"/>
            <w:noWrap w:val="0"/>
            <w:vAlign w:val="center"/>
          </w:tcPr>
          <w:p>
            <w:pPr>
              <w:spacing w:line="300" w:lineRule="exact"/>
              <w:jc w:val="center"/>
              <w:rPr>
                <w:szCs w:val="21"/>
              </w:rPr>
            </w:pPr>
            <w:r>
              <w:rPr>
                <w:rFonts w:hint="eastAsia" w:ascii="宋体" w:hAnsi="宋体"/>
              </w:rPr>
              <w:t>CRS-31</w:t>
            </w:r>
          </w:p>
        </w:tc>
        <w:tc>
          <w:tcPr>
            <w:tcW w:w="1788" w:type="dxa"/>
            <w:noWrap w:val="0"/>
            <w:vAlign w:val="center"/>
          </w:tcPr>
          <w:p>
            <w:pPr>
              <w:jc w:val="center"/>
              <w:rPr>
                <w:rFonts w:hint="eastAsia"/>
                <w:szCs w:val="21"/>
              </w:rPr>
            </w:pPr>
            <w:r>
              <w:rPr>
                <w:rFonts w:hint="eastAsia"/>
                <w:szCs w:val="21"/>
              </w:rPr>
              <w:t>6.3</w:t>
            </w:r>
            <w:r>
              <w:rPr>
                <w:color w:val="000000"/>
                <w:szCs w:val="21"/>
              </w:rPr>
              <w:t xml:space="preserve"> m</w:t>
            </w:r>
            <w:r>
              <w:rPr>
                <w:color w:val="000000"/>
                <w:szCs w:val="21"/>
                <w:vertAlign w:val="superscript"/>
              </w:rPr>
              <w:t>3</w:t>
            </w:r>
          </w:p>
        </w:tc>
        <w:tc>
          <w:tcPr>
            <w:tcW w:w="1783" w:type="dxa"/>
            <w:noWrap w:val="0"/>
            <w:vAlign w:val="center"/>
          </w:tcPr>
          <w:p>
            <w:pPr>
              <w:jc w:val="center"/>
              <w:rPr>
                <w:szCs w:val="21"/>
              </w:rPr>
            </w:pPr>
            <w:r>
              <w:rPr>
                <w:rFonts w:hAnsi="宋体"/>
                <w:szCs w:val="21"/>
              </w:rPr>
              <w:t>使用寿命</w:t>
            </w:r>
            <w:r>
              <w:rPr>
                <w:rFonts w:hint="eastAsia"/>
                <w:szCs w:val="21"/>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7</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ascii="宋体"/>
              </w:rPr>
            </w:pPr>
          </w:p>
        </w:tc>
        <w:tc>
          <w:tcPr>
            <w:tcW w:w="2126" w:type="dxa"/>
            <w:noWrap w:val="0"/>
            <w:vAlign w:val="top"/>
          </w:tcPr>
          <w:p>
            <w:pPr>
              <w:jc w:val="center"/>
              <w:rPr>
                <w:rFonts w:hint="eastAsia" w:ascii="宋体"/>
              </w:rPr>
            </w:pPr>
            <w:r>
              <w:rPr>
                <w:rFonts w:hint="eastAsia" w:ascii="宋体"/>
              </w:rPr>
              <w:t>克劳斯催化剂</w:t>
            </w:r>
          </w:p>
        </w:tc>
        <w:tc>
          <w:tcPr>
            <w:tcW w:w="1446" w:type="dxa"/>
            <w:noWrap w:val="0"/>
            <w:vAlign w:val="center"/>
          </w:tcPr>
          <w:p>
            <w:pPr>
              <w:spacing w:line="300" w:lineRule="exact"/>
              <w:jc w:val="center"/>
              <w:rPr>
                <w:szCs w:val="21"/>
              </w:rPr>
            </w:pPr>
            <w:r>
              <w:rPr>
                <w:rFonts w:hint="eastAsia" w:ascii="宋体" w:hAnsi="宋体"/>
              </w:rPr>
              <w:t>CR-3S</w:t>
            </w:r>
          </w:p>
        </w:tc>
        <w:tc>
          <w:tcPr>
            <w:tcW w:w="1788" w:type="dxa"/>
            <w:noWrap w:val="0"/>
            <w:vAlign w:val="center"/>
          </w:tcPr>
          <w:p>
            <w:pPr>
              <w:jc w:val="center"/>
              <w:rPr>
                <w:rFonts w:hint="eastAsia"/>
                <w:szCs w:val="21"/>
              </w:rPr>
            </w:pPr>
            <w:r>
              <w:rPr>
                <w:rFonts w:hint="eastAsia"/>
                <w:szCs w:val="21"/>
              </w:rPr>
              <w:t>3.4</w:t>
            </w:r>
            <w:r>
              <w:rPr>
                <w:color w:val="000000"/>
                <w:szCs w:val="21"/>
              </w:rPr>
              <w:t xml:space="preserve"> m</w:t>
            </w:r>
            <w:r>
              <w:rPr>
                <w:color w:val="000000"/>
                <w:szCs w:val="21"/>
                <w:vertAlign w:val="superscript"/>
              </w:rPr>
              <w:t>3</w:t>
            </w:r>
          </w:p>
        </w:tc>
        <w:tc>
          <w:tcPr>
            <w:tcW w:w="1783" w:type="dxa"/>
            <w:noWrap w:val="0"/>
            <w:vAlign w:val="center"/>
          </w:tcPr>
          <w:p>
            <w:pPr>
              <w:jc w:val="center"/>
              <w:rPr>
                <w:szCs w:val="21"/>
              </w:rPr>
            </w:pPr>
            <w:r>
              <w:rPr>
                <w:rFonts w:hAnsi="宋体"/>
                <w:szCs w:val="21"/>
              </w:rPr>
              <w:t>使用寿命</w:t>
            </w:r>
            <w:r>
              <w:rPr>
                <w:rFonts w:hint="eastAsia"/>
                <w:szCs w:val="21"/>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8</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ascii="宋体"/>
                <w:sz w:val="18"/>
                <w:szCs w:val="18"/>
              </w:rPr>
            </w:pPr>
          </w:p>
        </w:tc>
        <w:tc>
          <w:tcPr>
            <w:tcW w:w="2126" w:type="dxa"/>
            <w:noWrap w:val="0"/>
            <w:vAlign w:val="top"/>
          </w:tcPr>
          <w:p>
            <w:pPr>
              <w:jc w:val="center"/>
              <w:rPr>
                <w:rFonts w:hint="eastAsia" w:ascii="宋体"/>
              </w:rPr>
            </w:pPr>
            <w:r>
              <w:rPr>
                <w:rFonts w:hint="eastAsia" w:ascii="宋体"/>
              </w:rPr>
              <w:t>超优克劳斯催化剂</w:t>
            </w:r>
          </w:p>
        </w:tc>
        <w:tc>
          <w:tcPr>
            <w:tcW w:w="1446" w:type="dxa"/>
            <w:noWrap w:val="0"/>
            <w:vAlign w:val="center"/>
          </w:tcPr>
          <w:p>
            <w:pPr>
              <w:spacing w:line="300" w:lineRule="exact"/>
              <w:jc w:val="center"/>
              <w:rPr>
                <w:szCs w:val="21"/>
              </w:rPr>
            </w:pPr>
            <w:r>
              <w:rPr>
                <w:rFonts w:hint="eastAsia" w:ascii="宋体" w:hAnsi="宋体"/>
              </w:rPr>
              <w:t>KF756</w:t>
            </w:r>
          </w:p>
        </w:tc>
        <w:tc>
          <w:tcPr>
            <w:tcW w:w="1788" w:type="dxa"/>
            <w:noWrap w:val="0"/>
            <w:vAlign w:val="center"/>
          </w:tcPr>
          <w:p>
            <w:pPr>
              <w:jc w:val="center"/>
              <w:rPr>
                <w:rFonts w:hint="eastAsia"/>
                <w:szCs w:val="21"/>
              </w:rPr>
            </w:pPr>
            <w:r>
              <w:rPr>
                <w:rFonts w:hint="eastAsia"/>
                <w:szCs w:val="21"/>
              </w:rPr>
              <w:t>0.4</w:t>
            </w:r>
            <w:r>
              <w:rPr>
                <w:color w:val="000000"/>
                <w:szCs w:val="21"/>
              </w:rPr>
              <w:t xml:space="preserve"> m</w:t>
            </w:r>
            <w:r>
              <w:rPr>
                <w:color w:val="000000"/>
                <w:szCs w:val="21"/>
                <w:vertAlign w:val="superscript"/>
              </w:rPr>
              <w:t>3</w:t>
            </w:r>
          </w:p>
        </w:tc>
        <w:tc>
          <w:tcPr>
            <w:tcW w:w="1783" w:type="dxa"/>
            <w:noWrap w:val="0"/>
            <w:vAlign w:val="center"/>
          </w:tcPr>
          <w:p>
            <w:pPr>
              <w:jc w:val="center"/>
              <w:rPr>
                <w:szCs w:val="21"/>
              </w:rPr>
            </w:pPr>
            <w:r>
              <w:rPr>
                <w:rFonts w:hAnsi="宋体"/>
                <w:szCs w:val="21"/>
              </w:rPr>
              <w:t>使用寿命</w:t>
            </w:r>
            <w:r>
              <w:rPr>
                <w:rFonts w:hint="eastAsia"/>
                <w:szCs w:val="21"/>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9</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ascii="宋体"/>
                <w:sz w:val="18"/>
                <w:szCs w:val="18"/>
              </w:rPr>
            </w:pPr>
          </w:p>
        </w:tc>
        <w:tc>
          <w:tcPr>
            <w:tcW w:w="2126" w:type="dxa"/>
            <w:noWrap w:val="0"/>
            <w:vAlign w:val="top"/>
          </w:tcPr>
          <w:p>
            <w:pPr>
              <w:jc w:val="center"/>
              <w:rPr>
                <w:rFonts w:hint="eastAsia" w:ascii="宋体"/>
              </w:rPr>
            </w:pPr>
            <w:r>
              <w:rPr>
                <w:rFonts w:hint="eastAsia" w:ascii="宋体"/>
              </w:rPr>
              <w:t>超级克劳斯催化剂</w:t>
            </w:r>
          </w:p>
        </w:tc>
        <w:tc>
          <w:tcPr>
            <w:tcW w:w="1446" w:type="dxa"/>
            <w:noWrap w:val="0"/>
            <w:vAlign w:val="center"/>
          </w:tcPr>
          <w:p>
            <w:pPr>
              <w:spacing w:line="300" w:lineRule="exact"/>
              <w:jc w:val="center"/>
              <w:rPr>
                <w:szCs w:val="21"/>
              </w:rPr>
            </w:pPr>
            <w:r>
              <w:rPr>
                <w:rFonts w:hint="eastAsia" w:ascii="宋体" w:hAnsi="宋体"/>
              </w:rPr>
              <w:t>D1651</w:t>
            </w:r>
          </w:p>
        </w:tc>
        <w:tc>
          <w:tcPr>
            <w:tcW w:w="1788" w:type="dxa"/>
            <w:noWrap w:val="0"/>
            <w:vAlign w:val="center"/>
          </w:tcPr>
          <w:p>
            <w:pPr>
              <w:jc w:val="center"/>
              <w:rPr>
                <w:rFonts w:hint="eastAsia"/>
                <w:szCs w:val="21"/>
              </w:rPr>
            </w:pPr>
            <w:r>
              <w:rPr>
                <w:rFonts w:hint="eastAsia"/>
                <w:szCs w:val="21"/>
              </w:rPr>
              <w:t>3.2</w:t>
            </w:r>
            <w:r>
              <w:rPr>
                <w:color w:val="000000"/>
                <w:szCs w:val="21"/>
              </w:rPr>
              <w:t xml:space="preserve"> m</w:t>
            </w:r>
            <w:r>
              <w:rPr>
                <w:color w:val="000000"/>
                <w:szCs w:val="21"/>
                <w:vertAlign w:val="superscript"/>
              </w:rPr>
              <w:t>3</w:t>
            </w:r>
          </w:p>
        </w:tc>
        <w:tc>
          <w:tcPr>
            <w:tcW w:w="1783" w:type="dxa"/>
            <w:noWrap w:val="0"/>
            <w:vAlign w:val="center"/>
          </w:tcPr>
          <w:p>
            <w:pPr>
              <w:jc w:val="center"/>
              <w:rPr>
                <w:rFonts w:hint="eastAsia"/>
                <w:szCs w:val="21"/>
              </w:rPr>
            </w:pPr>
            <w:r>
              <w:rPr>
                <w:rFonts w:hAnsi="宋体"/>
                <w:szCs w:val="21"/>
              </w:rPr>
              <w:t>使用寿命</w:t>
            </w:r>
            <w:r>
              <w:rPr>
                <w:rFonts w:hint="eastAsia"/>
                <w:szCs w:val="21"/>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10</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ascii="宋体" w:hAnsi="宋体"/>
              </w:rPr>
            </w:pPr>
          </w:p>
        </w:tc>
        <w:tc>
          <w:tcPr>
            <w:tcW w:w="2126" w:type="dxa"/>
            <w:noWrap w:val="0"/>
            <w:vAlign w:val="bottom"/>
          </w:tcPr>
          <w:p>
            <w:pPr>
              <w:jc w:val="center"/>
              <w:rPr>
                <w:rFonts w:ascii="宋体" w:hAnsi="宋体"/>
              </w:rPr>
            </w:pPr>
            <w:r>
              <w:rPr>
                <w:rFonts w:hint="eastAsia" w:ascii="宋体" w:hAnsi="宋体"/>
              </w:rPr>
              <w:t>空气纯化分子筛</w:t>
            </w:r>
          </w:p>
        </w:tc>
        <w:tc>
          <w:tcPr>
            <w:tcW w:w="1446" w:type="dxa"/>
            <w:noWrap w:val="0"/>
            <w:vAlign w:val="center"/>
          </w:tcPr>
          <w:p>
            <w:pPr>
              <w:spacing w:line="300" w:lineRule="exact"/>
              <w:jc w:val="center"/>
              <w:rPr>
                <w:szCs w:val="21"/>
              </w:rPr>
            </w:pPr>
          </w:p>
        </w:tc>
        <w:tc>
          <w:tcPr>
            <w:tcW w:w="1788" w:type="dxa"/>
            <w:noWrap w:val="0"/>
            <w:vAlign w:val="center"/>
          </w:tcPr>
          <w:p>
            <w:pPr>
              <w:jc w:val="center"/>
              <w:rPr>
                <w:rFonts w:hint="eastAsia"/>
                <w:szCs w:val="21"/>
              </w:rPr>
            </w:pPr>
            <w:r>
              <w:rPr>
                <w:rFonts w:hint="eastAsia"/>
                <w:szCs w:val="21"/>
              </w:rPr>
              <w:t>150t</w:t>
            </w:r>
          </w:p>
        </w:tc>
        <w:tc>
          <w:tcPr>
            <w:tcW w:w="1783" w:type="dxa"/>
            <w:noWrap w:val="0"/>
            <w:vAlign w:val="center"/>
          </w:tcPr>
          <w:p>
            <w:pPr>
              <w:jc w:val="center"/>
              <w:rPr>
                <w:szCs w:val="21"/>
              </w:rPr>
            </w:pPr>
            <w:r>
              <w:rPr>
                <w:rFonts w:hAnsi="宋体"/>
                <w:szCs w:val="21"/>
              </w:rPr>
              <w:t>使用寿命</w:t>
            </w:r>
            <w:r>
              <w:rPr>
                <w:rFonts w:hint="eastAsia"/>
                <w:szCs w:val="21"/>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11</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ascii="宋体" w:hAnsi="宋体"/>
                <w:szCs w:val="18"/>
              </w:rPr>
            </w:pPr>
          </w:p>
        </w:tc>
        <w:tc>
          <w:tcPr>
            <w:tcW w:w="2126" w:type="dxa"/>
            <w:noWrap w:val="0"/>
            <w:vAlign w:val="bottom"/>
          </w:tcPr>
          <w:p>
            <w:pPr>
              <w:jc w:val="center"/>
              <w:rPr>
                <w:rFonts w:ascii="宋体" w:hAnsi="宋体"/>
                <w:szCs w:val="18"/>
              </w:rPr>
            </w:pPr>
            <w:r>
              <w:rPr>
                <w:rFonts w:hint="eastAsia" w:ascii="宋体" w:hAnsi="宋体"/>
                <w:szCs w:val="18"/>
              </w:rPr>
              <w:t>活性氧化铝</w:t>
            </w:r>
          </w:p>
        </w:tc>
        <w:tc>
          <w:tcPr>
            <w:tcW w:w="1446" w:type="dxa"/>
            <w:noWrap w:val="0"/>
            <w:vAlign w:val="center"/>
          </w:tcPr>
          <w:p>
            <w:pPr>
              <w:spacing w:line="300" w:lineRule="exact"/>
              <w:jc w:val="center"/>
              <w:rPr>
                <w:szCs w:val="21"/>
              </w:rPr>
            </w:pPr>
          </w:p>
        </w:tc>
        <w:tc>
          <w:tcPr>
            <w:tcW w:w="1788" w:type="dxa"/>
            <w:noWrap w:val="0"/>
            <w:vAlign w:val="center"/>
          </w:tcPr>
          <w:p>
            <w:pPr>
              <w:jc w:val="center"/>
              <w:rPr>
                <w:rFonts w:hint="eastAsia"/>
                <w:szCs w:val="21"/>
              </w:rPr>
            </w:pPr>
            <w:r>
              <w:rPr>
                <w:rFonts w:hint="eastAsia"/>
                <w:szCs w:val="21"/>
              </w:rPr>
              <w:t>70t</w:t>
            </w:r>
          </w:p>
        </w:tc>
        <w:tc>
          <w:tcPr>
            <w:tcW w:w="1783" w:type="dxa"/>
            <w:noWrap w:val="0"/>
            <w:vAlign w:val="center"/>
          </w:tcPr>
          <w:p>
            <w:pPr>
              <w:jc w:val="center"/>
              <w:rPr>
                <w:szCs w:val="21"/>
              </w:rPr>
            </w:pPr>
            <w:r>
              <w:rPr>
                <w:rFonts w:hAnsi="宋体"/>
                <w:szCs w:val="21"/>
              </w:rPr>
              <w:t>使用寿命</w:t>
            </w:r>
            <w:r>
              <w:rPr>
                <w:rFonts w:hint="eastAsia"/>
                <w:szCs w:val="21"/>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12</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ascii="宋体" w:hAnsi="宋体"/>
                <w:szCs w:val="18"/>
              </w:rPr>
            </w:pPr>
          </w:p>
        </w:tc>
        <w:tc>
          <w:tcPr>
            <w:tcW w:w="2126" w:type="dxa"/>
            <w:noWrap w:val="0"/>
            <w:vAlign w:val="bottom"/>
          </w:tcPr>
          <w:p>
            <w:pPr>
              <w:jc w:val="center"/>
              <w:rPr>
                <w:rFonts w:hint="eastAsia" w:ascii="宋体" w:hAnsi="宋体"/>
                <w:szCs w:val="18"/>
              </w:rPr>
            </w:pPr>
            <w:r>
              <w:rPr>
                <w:rFonts w:hint="eastAsia" w:ascii="宋体" w:hAnsi="宋体"/>
                <w:szCs w:val="18"/>
              </w:rPr>
              <w:t>惰性氧化铝</w:t>
            </w:r>
          </w:p>
        </w:tc>
        <w:tc>
          <w:tcPr>
            <w:tcW w:w="1446" w:type="dxa"/>
            <w:noWrap w:val="0"/>
            <w:vAlign w:val="center"/>
          </w:tcPr>
          <w:p>
            <w:pPr>
              <w:spacing w:line="300" w:lineRule="exact"/>
              <w:jc w:val="center"/>
              <w:rPr>
                <w:szCs w:val="21"/>
              </w:rPr>
            </w:pPr>
          </w:p>
        </w:tc>
        <w:tc>
          <w:tcPr>
            <w:tcW w:w="1788" w:type="dxa"/>
            <w:noWrap w:val="0"/>
            <w:vAlign w:val="center"/>
          </w:tcPr>
          <w:p>
            <w:pPr>
              <w:jc w:val="center"/>
              <w:rPr>
                <w:rFonts w:hint="eastAsia"/>
                <w:szCs w:val="21"/>
              </w:rPr>
            </w:pPr>
            <w:r>
              <w:rPr>
                <w:rFonts w:hint="eastAsia"/>
                <w:szCs w:val="21"/>
              </w:rPr>
              <w:t>21t</w:t>
            </w:r>
          </w:p>
        </w:tc>
        <w:tc>
          <w:tcPr>
            <w:tcW w:w="1783" w:type="dxa"/>
            <w:noWrap w:val="0"/>
            <w:vAlign w:val="center"/>
          </w:tcPr>
          <w:p>
            <w:pPr>
              <w:jc w:val="center"/>
              <w:rPr>
                <w:szCs w:val="21"/>
              </w:rPr>
            </w:pPr>
            <w:r>
              <w:rPr>
                <w:rFonts w:hAnsi="宋体"/>
                <w:szCs w:val="21"/>
              </w:rPr>
              <w:t>使用寿命</w:t>
            </w:r>
            <w:r>
              <w:rPr>
                <w:rFonts w:hint="eastAsia"/>
                <w:szCs w:val="21"/>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13</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rPr>
            </w:pPr>
          </w:p>
        </w:tc>
        <w:tc>
          <w:tcPr>
            <w:tcW w:w="2126" w:type="dxa"/>
            <w:noWrap w:val="0"/>
            <w:vAlign w:val="center"/>
          </w:tcPr>
          <w:p>
            <w:pPr>
              <w:jc w:val="center"/>
              <w:rPr>
                <w:rFonts w:ascii="宋体" w:hAnsi="宋体"/>
              </w:rPr>
            </w:pPr>
            <w:r>
              <w:rPr>
                <w:rFonts w:hint="eastAsia"/>
              </w:rPr>
              <w:t>添加剂（含液碱等）</w:t>
            </w:r>
          </w:p>
        </w:tc>
        <w:tc>
          <w:tcPr>
            <w:tcW w:w="1446" w:type="dxa"/>
            <w:noWrap w:val="0"/>
            <w:vAlign w:val="center"/>
          </w:tcPr>
          <w:p>
            <w:pPr>
              <w:spacing w:line="300" w:lineRule="exact"/>
              <w:jc w:val="center"/>
              <w:rPr>
                <w:szCs w:val="21"/>
              </w:rPr>
            </w:pPr>
          </w:p>
        </w:tc>
        <w:tc>
          <w:tcPr>
            <w:tcW w:w="1788" w:type="dxa"/>
            <w:noWrap w:val="0"/>
            <w:vAlign w:val="bottom"/>
          </w:tcPr>
          <w:p>
            <w:pPr>
              <w:jc w:val="center"/>
              <w:rPr>
                <w:rFonts w:hint="eastAsia"/>
                <w:szCs w:val="21"/>
              </w:rPr>
            </w:pPr>
            <w:r>
              <w:rPr>
                <w:rFonts w:hint="eastAsia"/>
                <w:szCs w:val="21"/>
              </w:rPr>
              <w:t>3878</w:t>
            </w:r>
            <w:r>
              <w:rPr>
                <w:szCs w:val="21"/>
              </w:rPr>
              <w:t xml:space="preserve"> t/a</w:t>
            </w:r>
          </w:p>
        </w:tc>
        <w:tc>
          <w:tcPr>
            <w:tcW w:w="1783" w:type="dxa"/>
            <w:noWrap w:val="0"/>
            <w:vAlign w:val="center"/>
          </w:tcPr>
          <w:p>
            <w:pPr>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14</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rPr>
            </w:pPr>
          </w:p>
        </w:tc>
        <w:tc>
          <w:tcPr>
            <w:tcW w:w="2126" w:type="dxa"/>
            <w:noWrap w:val="0"/>
            <w:vAlign w:val="center"/>
          </w:tcPr>
          <w:p>
            <w:pPr>
              <w:jc w:val="center"/>
              <w:rPr>
                <w:rFonts w:ascii="宋体" w:hAnsi="宋体"/>
              </w:rPr>
            </w:pPr>
            <w:r>
              <w:rPr>
                <w:rFonts w:hint="eastAsia"/>
              </w:rPr>
              <w:t>絮凝剂</w:t>
            </w:r>
          </w:p>
        </w:tc>
        <w:tc>
          <w:tcPr>
            <w:tcW w:w="1446" w:type="dxa"/>
            <w:noWrap w:val="0"/>
            <w:vAlign w:val="center"/>
          </w:tcPr>
          <w:p>
            <w:pPr>
              <w:spacing w:line="300" w:lineRule="exact"/>
              <w:jc w:val="center"/>
              <w:rPr>
                <w:szCs w:val="21"/>
              </w:rPr>
            </w:pPr>
          </w:p>
        </w:tc>
        <w:tc>
          <w:tcPr>
            <w:tcW w:w="1788" w:type="dxa"/>
            <w:noWrap w:val="0"/>
            <w:vAlign w:val="bottom"/>
          </w:tcPr>
          <w:p>
            <w:pPr>
              <w:jc w:val="center"/>
              <w:rPr>
                <w:rFonts w:hint="eastAsia"/>
                <w:szCs w:val="21"/>
              </w:rPr>
            </w:pPr>
            <w:r>
              <w:rPr>
                <w:rFonts w:hint="eastAsia"/>
                <w:szCs w:val="21"/>
              </w:rPr>
              <w:t>9</w:t>
            </w:r>
            <w:r>
              <w:rPr>
                <w:szCs w:val="21"/>
              </w:rPr>
              <w:t xml:space="preserve"> t/a</w:t>
            </w:r>
          </w:p>
        </w:tc>
        <w:tc>
          <w:tcPr>
            <w:tcW w:w="1783" w:type="dxa"/>
            <w:noWrap w:val="0"/>
            <w:vAlign w:val="center"/>
          </w:tcPr>
          <w:p>
            <w:pPr>
              <w:spacing w:line="300" w:lineRule="exac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15</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jc w:val="center"/>
              <w:rPr>
                <w:rFonts w:hint="eastAsia"/>
              </w:rPr>
            </w:pPr>
          </w:p>
        </w:tc>
        <w:tc>
          <w:tcPr>
            <w:tcW w:w="2126" w:type="dxa"/>
            <w:noWrap w:val="0"/>
            <w:vAlign w:val="center"/>
          </w:tcPr>
          <w:p>
            <w:pPr>
              <w:jc w:val="center"/>
              <w:rPr>
                <w:rFonts w:ascii="宋体" w:hAnsi="宋体"/>
              </w:rPr>
            </w:pPr>
            <w:r>
              <w:rPr>
                <w:rFonts w:hint="eastAsia"/>
              </w:rPr>
              <w:t>分散剂</w:t>
            </w:r>
          </w:p>
        </w:tc>
        <w:tc>
          <w:tcPr>
            <w:tcW w:w="1446" w:type="dxa"/>
            <w:noWrap w:val="0"/>
            <w:vAlign w:val="center"/>
          </w:tcPr>
          <w:p>
            <w:pPr>
              <w:spacing w:line="300" w:lineRule="exact"/>
              <w:jc w:val="center"/>
              <w:rPr>
                <w:szCs w:val="21"/>
              </w:rPr>
            </w:pPr>
          </w:p>
        </w:tc>
        <w:tc>
          <w:tcPr>
            <w:tcW w:w="1788" w:type="dxa"/>
            <w:noWrap w:val="0"/>
            <w:vAlign w:val="bottom"/>
          </w:tcPr>
          <w:p>
            <w:pPr>
              <w:jc w:val="center"/>
              <w:rPr>
                <w:rFonts w:hint="eastAsia"/>
                <w:szCs w:val="21"/>
              </w:rPr>
            </w:pPr>
            <w:r>
              <w:rPr>
                <w:rFonts w:hint="eastAsia"/>
                <w:szCs w:val="21"/>
              </w:rPr>
              <w:t>360</w:t>
            </w:r>
            <w:r>
              <w:rPr>
                <w:szCs w:val="21"/>
              </w:rPr>
              <w:t xml:space="preserve"> t/a</w:t>
            </w:r>
            <w:r>
              <w:rPr>
                <w:rFonts w:hint="eastAsia" w:hAnsi="宋体"/>
                <w:szCs w:val="21"/>
              </w:rPr>
              <w:t>废甲醇或次等甲醇</w:t>
            </w:r>
          </w:p>
        </w:tc>
        <w:tc>
          <w:tcPr>
            <w:tcW w:w="1783" w:type="dxa"/>
            <w:noWrap w:val="0"/>
            <w:vAlign w:val="center"/>
          </w:tcPr>
          <w:p>
            <w:pPr>
              <w:spacing w:line="300" w:lineRule="exac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16</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spacing w:line="300" w:lineRule="exact"/>
              <w:jc w:val="center"/>
              <w:rPr>
                <w:rFonts w:hAnsi="宋体"/>
                <w:szCs w:val="21"/>
              </w:rPr>
            </w:pPr>
          </w:p>
        </w:tc>
        <w:tc>
          <w:tcPr>
            <w:tcW w:w="2126" w:type="dxa"/>
            <w:noWrap w:val="0"/>
            <w:vAlign w:val="center"/>
          </w:tcPr>
          <w:p>
            <w:pPr>
              <w:spacing w:line="300" w:lineRule="exact"/>
              <w:jc w:val="center"/>
              <w:rPr>
                <w:szCs w:val="21"/>
              </w:rPr>
            </w:pPr>
            <w:r>
              <w:rPr>
                <w:rFonts w:hAnsi="宋体"/>
                <w:szCs w:val="21"/>
              </w:rPr>
              <w:t>甲醇</w:t>
            </w:r>
          </w:p>
        </w:tc>
        <w:tc>
          <w:tcPr>
            <w:tcW w:w="1446" w:type="dxa"/>
            <w:noWrap w:val="0"/>
            <w:vAlign w:val="center"/>
          </w:tcPr>
          <w:p>
            <w:pPr>
              <w:spacing w:line="300" w:lineRule="exact"/>
              <w:jc w:val="center"/>
              <w:rPr>
                <w:szCs w:val="21"/>
              </w:rPr>
            </w:pPr>
            <w:r>
              <w:rPr>
                <w:szCs w:val="21"/>
              </w:rPr>
              <w:t>GB338-2004</w:t>
            </w:r>
          </w:p>
        </w:tc>
        <w:tc>
          <w:tcPr>
            <w:tcW w:w="1788" w:type="dxa"/>
            <w:noWrap w:val="0"/>
            <w:vAlign w:val="center"/>
          </w:tcPr>
          <w:p>
            <w:pPr>
              <w:spacing w:line="300" w:lineRule="exact"/>
              <w:jc w:val="center"/>
              <w:rPr>
                <w:rFonts w:hint="eastAsia"/>
                <w:szCs w:val="21"/>
              </w:rPr>
            </w:pPr>
            <w:r>
              <w:rPr>
                <w:rFonts w:hint="eastAsia"/>
                <w:szCs w:val="21"/>
              </w:rPr>
              <w:t>100</w:t>
            </w:r>
            <w:r>
              <w:rPr>
                <w:szCs w:val="21"/>
              </w:rPr>
              <w:t>0</w:t>
            </w:r>
            <w:r>
              <w:rPr>
                <w:color w:val="000000"/>
                <w:szCs w:val="21"/>
              </w:rPr>
              <w:t xml:space="preserve"> m</w:t>
            </w:r>
            <w:r>
              <w:rPr>
                <w:color w:val="000000"/>
                <w:szCs w:val="21"/>
                <w:vertAlign w:val="superscript"/>
              </w:rPr>
              <w:t>3</w:t>
            </w:r>
          </w:p>
        </w:tc>
        <w:tc>
          <w:tcPr>
            <w:tcW w:w="1783" w:type="dxa"/>
            <w:noWrap w:val="0"/>
            <w:vAlign w:val="center"/>
          </w:tcPr>
          <w:p>
            <w:pPr>
              <w:spacing w:line="300" w:lineRule="exact"/>
              <w:jc w:val="center"/>
              <w:rPr>
                <w:szCs w:val="21"/>
              </w:rPr>
            </w:pPr>
            <w:r>
              <w:rPr>
                <w:rFonts w:hAnsi="宋体"/>
                <w:szCs w:val="21"/>
              </w:rPr>
              <w:t>每年消耗</w:t>
            </w:r>
            <w:r>
              <w:rPr>
                <w:rFonts w:hint="eastAsia"/>
                <w:szCs w:val="21"/>
              </w:rPr>
              <w:t>243</w:t>
            </w:r>
            <w:r>
              <w:rPr>
                <w:color w:val="000000"/>
                <w:szCs w:val="21"/>
              </w:rPr>
              <w:t xml:space="preserve"> m</w:t>
            </w:r>
            <w:r>
              <w:rPr>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17</w:t>
            </w:r>
          </w:p>
        </w:tc>
        <w:tc>
          <w:tcPr>
            <w:tcW w:w="665" w:type="dxa"/>
            <w:vMerge w:val="continue"/>
            <w:noWrap w:val="0"/>
            <w:vAlign w:val="center"/>
          </w:tcPr>
          <w:p>
            <w:pPr>
              <w:spacing w:line="300" w:lineRule="exact"/>
              <w:jc w:val="center"/>
              <w:rPr>
                <w:szCs w:val="21"/>
              </w:rPr>
            </w:pPr>
          </w:p>
        </w:tc>
        <w:tc>
          <w:tcPr>
            <w:tcW w:w="709" w:type="dxa"/>
            <w:vMerge w:val="restart"/>
            <w:noWrap w:val="0"/>
            <w:vAlign w:val="center"/>
          </w:tcPr>
          <w:p>
            <w:pPr>
              <w:spacing w:line="300" w:lineRule="exact"/>
              <w:jc w:val="center"/>
              <w:rPr>
                <w:rFonts w:hint="eastAsia" w:hAnsi="宋体"/>
                <w:szCs w:val="21"/>
              </w:rPr>
            </w:pPr>
            <w:r>
              <w:rPr>
                <w:rFonts w:hint="eastAsia" w:hAnsi="宋体"/>
                <w:szCs w:val="21"/>
              </w:rPr>
              <w:t>污</w:t>
            </w:r>
          </w:p>
          <w:p>
            <w:pPr>
              <w:spacing w:line="300" w:lineRule="exact"/>
              <w:jc w:val="center"/>
              <w:rPr>
                <w:rFonts w:hint="eastAsia" w:hAnsi="宋体"/>
                <w:szCs w:val="21"/>
              </w:rPr>
            </w:pPr>
            <w:r>
              <w:rPr>
                <w:rFonts w:hint="eastAsia" w:hAnsi="宋体"/>
                <w:szCs w:val="21"/>
              </w:rPr>
              <w:t>水</w:t>
            </w:r>
          </w:p>
          <w:p>
            <w:pPr>
              <w:spacing w:line="300" w:lineRule="exact"/>
              <w:jc w:val="center"/>
              <w:rPr>
                <w:rFonts w:hint="eastAsia" w:hAnsi="宋体"/>
                <w:szCs w:val="21"/>
              </w:rPr>
            </w:pPr>
            <w:r>
              <w:rPr>
                <w:rFonts w:hint="eastAsia" w:hAnsi="宋体"/>
                <w:szCs w:val="21"/>
              </w:rPr>
              <w:t>处</w:t>
            </w:r>
          </w:p>
          <w:p>
            <w:pPr>
              <w:spacing w:line="300" w:lineRule="exact"/>
              <w:jc w:val="center"/>
              <w:rPr>
                <w:rFonts w:hint="eastAsia" w:hAnsi="宋体"/>
                <w:szCs w:val="21"/>
              </w:rPr>
            </w:pPr>
            <w:r>
              <w:rPr>
                <w:rFonts w:hint="eastAsia" w:hAnsi="宋体"/>
                <w:szCs w:val="21"/>
              </w:rPr>
              <w:t>理</w:t>
            </w:r>
          </w:p>
        </w:tc>
        <w:tc>
          <w:tcPr>
            <w:tcW w:w="2126" w:type="dxa"/>
            <w:noWrap w:val="0"/>
            <w:vAlign w:val="center"/>
          </w:tcPr>
          <w:p>
            <w:pPr>
              <w:spacing w:line="300" w:lineRule="exact"/>
              <w:jc w:val="center"/>
              <w:rPr>
                <w:rFonts w:hAnsi="宋体"/>
                <w:szCs w:val="21"/>
              </w:rPr>
            </w:pPr>
            <w:r>
              <w:rPr>
                <w:rFonts w:hint="eastAsia" w:hAnsi="宋体"/>
                <w:szCs w:val="21"/>
              </w:rPr>
              <w:t>甲醇</w:t>
            </w:r>
          </w:p>
        </w:tc>
        <w:tc>
          <w:tcPr>
            <w:tcW w:w="1446" w:type="dxa"/>
            <w:noWrap w:val="0"/>
            <w:vAlign w:val="center"/>
          </w:tcPr>
          <w:p>
            <w:pPr>
              <w:spacing w:line="300" w:lineRule="exact"/>
              <w:jc w:val="center"/>
              <w:rPr>
                <w:szCs w:val="21"/>
              </w:rPr>
            </w:pPr>
            <w:r>
              <w:rPr>
                <w:rFonts w:hint="eastAsia" w:hAnsi="宋体"/>
                <w:szCs w:val="21"/>
              </w:rPr>
              <w:t>废甲醇或次等甲醇</w:t>
            </w:r>
          </w:p>
        </w:tc>
        <w:tc>
          <w:tcPr>
            <w:tcW w:w="1788" w:type="dxa"/>
            <w:noWrap w:val="0"/>
            <w:vAlign w:val="center"/>
          </w:tcPr>
          <w:p>
            <w:pPr>
              <w:spacing w:line="300" w:lineRule="exact"/>
              <w:jc w:val="center"/>
              <w:rPr>
                <w:rFonts w:hint="eastAsia"/>
                <w:szCs w:val="21"/>
              </w:rPr>
            </w:pPr>
            <w:r>
              <w:rPr>
                <w:rFonts w:hint="eastAsia"/>
                <w:szCs w:val="21"/>
              </w:rPr>
              <w:t>100</w:t>
            </w:r>
            <w:r>
              <w:rPr>
                <w:szCs w:val="21"/>
              </w:rPr>
              <w:t xml:space="preserve"> t/a</w:t>
            </w:r>
          </w:p>
        </w:tc>
        <w:tc>
          <w:tcPr>
            <w:tcW w:w="1783" w:type="dxa"/>
            <w:noWrap w:val="0"/>
            <w:vAlign w:val="center"/>
          </w:tcPr>
          <w:p>
            <w:pPr>
              <w:jc w:val="center"/>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18</w:t>
            </w:r>
          </w:p>
        </w:tc>
        <w:tc>
          <w:tcPr>
            <w:tcW w:w="665" w:type="dxa"/>
            <w:vMerge w:val="continue"/>
            <w:noWrap w:val="0"/>
            <w:vAlign w:val="top"/>
          </w:tcPr>
          <w:p>
            <w:pPr>
              <w:spacing w:line="300" w:lineRule="exact"/>
              <w:jc w:val="center"/>
              <w:rPr>
                <w:szCs w:val="21"/>
              </w:rPr>
            </w:pPr>
          </w:p>
        </w:tc>
        <w:tc>
          <w:tcPr>
            <w:tcW w:w="709" w:type="dxa"/>
            <w:vMerge w:val="continue"/>
            <w:noWrap w:val="0"/>
            <w:vAlign w:val="top"/>
          </w:tcPr>
          <w:p>
            <w:pPr>
              <w:spacing w:line="300" w:lineRule="exact"/>
              <w:jc w:val="center"/>
              <w:rPr>
                <w:rFonts w:hAnsi="宋体"/>
                <w:szCs w:val="21"/>
              </w:rPr>
            </w:pPr>
          </w:p>
        </w:tc>
        <w:tc>
          <w:tcPr>
            <w:tcW w:w="2126" w:type="dxa"/>
            <w:noWrap w:val="0"/>
            <w:vAlign w:val="center"/>
          </w:tcPr>
          <w:p>
            <w:pPr>
              <w:spacing w:line="300" w:lineRule="exact"/>
              <w:jc w:val="center"/>
              <w:rPr>
                <w:rFonts w:hAnsi="宋体"/>
                <w:szCs w:val="21"/>
              </w:rPr>
            </w:pPr>
            <w:r>
              <w:rPr>
                <w:rFonts w:hint="eastAsia" w:hAnsi="宋体"/>
                <w:szCs w:val="21"/>
              </w:rPr>
              <w:t>聚丙烯酰胺（PAM）</w:t>
            </w:r>
          </w:p>
        </w:tc>
        <w:tc>
          <w:tcPr>
            <w:tcW w:w="1446" w:type="dxa"/>
            <w:noWrap w:val="0"/>
            <w:vAlign w:val="center"/>
          </w:tcPr>
          <w:p>
            <w:pPr>
              <w:spacing w:line="300" w:lineRule="exact"/>
              <w:jc w:val="center"/>
              <w:rPr>
                <w:rFonts w:hint="eastAsia"/>
                <w:szCs w:val="21"/>
              </w:rPr>
            </w:pPr>
            <w:r>
              <w:rPr>
                <w:rFonts w:hint="eastAsia"/>
                <w:szCs w:val="21"/>
              </w:rPr>
              <w:t>水处理剂</w:t>
            </w:r>
          </w:p>
        </w:tc>
        <w:tc>
          <w:tcPr>
            <w:tcW w:w="1788" w:type="dxa"/>
            <w:noWrap w:val="0"/>
            <w:vAlign w:val="center"/>
          </w:tcPr>
          <w:p>
            <w:pPr>
              <w:spacing w:line="300" w:lineRule="exact"/>
              <w:jc w:val="center"/>
              <w:rPr>
                <w:rFonts w:hint="eastAsia"/>
                <w:szCs w:val="21"/>
              </w:rPr>
            </w:pPr>
            <w:r>
              <w:rPr>
                <w:rFonts w:hint="eastAsia"/>
                <w:szCs w:val="21"/>
              </w:rPr>
              <w:t>1.2</w:t>
            </w:r>
            <w:r>
              <w:rPr>
                <w:szCs w:val="21"/>
              </w:rPr>
              <w:t xml:space="preserve"> t/a</w:t>
            </w:r>
          </w:p>
        </w:tc>
        <w:tc>
          <w:tcPr>
            <w:tcW w:w="1783" w:type="dxa"/>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19</w:t>
            </w:r>
          </w:p>
        </w:tc>
        <w:tc>
          <w:tcPr>
            <w:tcW w:w="665" w:type="dxa"/>
            <w:vMerge w:val="continue"/>
            <w:noWrap w:val="0"/>
            <w:vAlign w:val="top"/>
          </w:tcPr>
          <w:p>
            <w:pPr>
              <w:spacing w:line="300" w:lineRule="exact"/>
              <w:jc w:val="center"/>
              <w:rPr>
                <w:szCs w:val="21"/>
              </w:rPr>
            </w:pPr>
          </w:p>
        </w:tc>
        <w:tc>
          <w:tcPr>
            <w:tcW w:w="709" w:type="dxa"/>
            <w:vMerge w:val="continue"/>
            <w:noWrap w:val="0"/>
            <w:vAlign w:val="top"/>
          </w:tcPr>
          <w:p>
            <w:pPr>
              <w:spacing w:line="300" w:lineRule="exact"/>
              <w:jc w:val="center"/>
              <w:rPr>
                <w:rFonts w:hAnsi="宋体"/>
                <w:szCs w:val="21"/>
              </w:rPr>
            </w:pPr>
          </w:p>
        </w:tc>
        <w:tc>
          <w:tcPr>
            <w:tcW w:w="2126" w:type="dxa"/>
            <w:noWrap w:val="0"/>
            <w:vAlign w:val="center"/>
          </w:tcPr>
          <w:p>
            <w:pPr>
              <w:spacing w:line="300" w:lineRule="exact"/>
              <w:jc w:val="center"/>
              <w:rPr>
                <w:rFonts w:hAnsi="宋体"/>
                <w:szCs w:val="21"/>
              </w:rPr>
            </w:pPr>
            <w:r>
              <w:rPr>
                <w:rFonts w:hint="eastAsia" w:hAnsi="宋体"/>
                <w:szCs w:val="21"/>
              </w:rPr>
              <w:t>烧碱</w:t>
            </w:r>
          </w:p>
        </w:tc>
        <w:tc>
          <w:tcPr>
            <w:tcW w:w="1446" w:type="dxa"/>
            <w:noWrap w:val="0"/>
            <w:vAlign w:val="center"/>
          </w:tcPr>
          <w:p>
            <w:pPr>
              <w:spacing w:line="300" w:lineRule="exact"/>
              <w:jc w:val="center"/>
              <w:rPr>
                <w:szCs w:val="21"/>
              </w:rPr>
            </w:pPr>
            <w:r>
              <w:rPr>
                <w:rFonts w:hAnsi="宋体"/>
                <w:szCs w:val="21"/>
              </w:rPr>
              <w:t>20%NaOH</w:t>
            </w:r>
          </w:p>
        </w:tc>
        <w:tc>
          <w:tcPr>
            <w:tcW w:w="1788" w:type="dxa"/>
            <w:noWrap w:val="0"/>
            <w:vAlign w:val="center"/>
          </w:tcPr>
          <w:p>
            <w:pPr>
              <w:spacing w:line="300" w:lineRule="exact"/>
              <w:jc w:val="center"/>
              <w:rPr>
                <w:rFonts w:hint="eastAsia"/>
                <w:szCs w:val="21"/>
              </w:rPr>
            </w:pPr>
            <w:r>
              <w:rPr>
                <w:rFonts w:hint="eastAsia"/>
                <w:szCs w:val="21"/>
              </w:rPr>
              <w:t>440</w:t>
            </w:r>
            <w:r>
              <w:rPr>
                <w:szCs w:val="21"/>
              </w:rPr>
              <w:t xml:space="preserve"> t/a</w:t>
            </w:r>
          </w:p>
        </w:tc>
        <w:tc>
          <w:tcPr>
            <w:tcW w:w="1783" w:type="dxa"/>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20</w:t>
            </w:r>
          </w:p>
        </w:tc>
        <w:tc>
          <w:tcPr>
            <w:tcW w:w="665" w:type="dxa"/>
            <w:vMerge w:val="continue"/>
            <w:noWrap w:val="0"/>
            <w:vAlign w:val="center"/>
          </w:tcPr>
          <w:p>
            <w:pPr>
              <w:spacing w:line="300" w:lineRule="exact"/>
              <w:jc w:val="center"/>
              <w:rPr>
                <w:szCs w:val="21"/>
              </w:rPr>
            </w:pPr>
          </w:p>
        </w:tc>
        <w:tc>
          <w:tcPr>
            <w:tcW w:w="709" w:type="dxa"/>
            <w:vMerge w:val="restart"/>
            <w:noWrap w:val="0"/>
            <w:vAlign w:val="center"/>
          </w:tcPr>
          <w:p>
            <w:pPr>
              <w:spacing w:line="300" w:lineRule="exact"/>
              <w:ind w:firstLine="105" w:firstLineChars="50"/>
              <w:rPr>
                <w:rFonts w:hint="eastAsia" w:hAnsi="宋体"/>
                <w:szCs w:val="21"/>
              </w:rPr>
            </w:pPr>
            <w:r>
              <w:rPr>
                <w:rFonts w:hint="eastAsia" w:hAnsi="宋体"/>
                <w:szCs w:val="21"/>
              </w:rPr>
              <w:t>脱</w:t>
            </w:r>
          </w:p>
          <w:p>
            <w:pPr>
              <w:spacing w:line="300" w:lineRule="exact"/>
              <w:ind w:firstLine="105" w:firstLineChars="50"/>
              <w:rPr>
                <w:rFonts w:hint="eastAsia" w:hAnsi="宋体"/>
                <w:szCs w:val="21"/>
              </w:rPr>
            </w:pPr>
            <w:r>
              <w:rPr>
                <w:rFonts w:hint="eastAsia" w:hAnsi="宋体"/>
                <w:szCs w:val="21"/>
              </w:rPr>
              <w:t>盐</w:t>
            </w:r>
          </w:p>
          <w:p>
            <w:pPr>
              <w:spacing w:line="300" w:lineRule="exact"/>
              <w:ind w:firstLine="105" w:firstLineChars="50"/>
              <w:rPr>
                <w:rFonts w:hint="eastAsia" w:hAnsi="宋体"/>
                <w:szCs w:val="21"/>
              </w:rPr>
            </w:pPr>
            <w:r>
              <w:rPr>
                <w:rFonts w:hint="eastAsia" w:hAnsi="宋体"/>
                <w:szCs w:val="21"/>
              </w:rPr>
              <w:t>水</w:t>
            </w:r>
          </w:p>
          <w:p>
            <w:pPr>
              <w:spacing w:line="300" w:lineRule="exact"/>
              <w:ind w:firstLine="105" w:firstLineChars="50"/>
              <w:rPr>
                <w:rFonts w:hint="eastAsia" w:hAnsi="宋体"/>
                <w:szCs w:val="21"/>
              </w:rPr>
            </w:pPr>
            <w:r>
              <w:rPr>
                <w:rFonts w:hint="eastAsia" w:hAnsi="宋体"/>
                <w:szCs w:val="21"/>
              </w:rPr>
              <w:t>站</w:t>
            </w:r>
          </w:p>
        </w:tc>
        <w:tc>
          <w:tcPr>
            <w:tcW w:w="2126" w:type="dxa"/>
            <w:noWrap w:val="0"/>
            <w:vAlign w:val="center"/>
          </w:tcPr>
          <w:p>
            <w:pPr>
              <w:snapToGrid w:val="0"/>
              <w:jc w:val="center"/>
              <w:rPr>
                <w:rFonts w:ascii="宋体" w:hAnsi="宋体" w:cs="Arial"/>
                <w:kern w:val="0"/>
                <w:szCs w:val="21"/>
              </w:rPr>
            </w:pPr>
            <w:r>
              <w:rPr>
                <w:rFonts w:hint="eastAsia" w:ascii="宋体" w:hAnsi="宋体" w:cs="Arial"/>
                <w:kern w:val="0"/>
                <w:szCs w:val="21"/>
              </w:rPr>
              <w:t>阻垢剂</w:t>
            </w:r>
          </w:p>
        </w:tc>
        <w:tc>
          <w:tcPr>
            <w:tcW w:w="1446" w:type="dxa"/>
            <w:noWrap w:val="0"/>
            <w:vAlign w:val="center"/>
          </w:tcPr>
          <w:p>
            <w:pPr>
              <w:spacing w:line="300" w:lineRule="exact"/>
              <w:jc w:val="center"/>
              <w:rPr>
                <w:rFonts w:hAnsi="宋体"/>
                <w:szCs w:val="21"/>
              </w:rPr>
            </w:pPr>
          </w:p>
        </w:tc>
        <w:tc>
          <w:tcPr>
            <w:tcW w:w="1788" w:type="dxa"/>
            <w:noWrap w:val="0"/>
            <w:vAlign w:val="center"/>
          </w:tcPr>
          <w:p>
            <w:pPr>
              <w:pStyle w:val="11"/>
              <w:adjustRightInd w:val="0"/>
              <w:snapToGrid w:val="0"/>
              <w:jc w:val="center"/>
              <w:rPr>
                <w:rFonts w:hint="eastAsia" w:ascii="Times New Roman" w:hAnsi="宋体" w:cs="Times New Roman"/>
              </w:rPr>
            </w:pPr>
            <w:r>
              <w:rPr>
                <w:rFonts w:hint="eastAsia" w:ascii="Times New Roman" w:hAnsi="宋体" w:cs="Times New Roman"/>
              </w:rPr>
              <w:t>2.6</w:t>
            </w:r>
            <w:r>
              <w:t xml:space="preserve"> t/a</w:t>
            </w:r>
          </w:p>
        </w:tc>
        <w:tc>
          <w:tcPr>
            <w:tcW w:w="1783" w:type="dxa"/>
            <w:vMerge w:val="restart"/>
            <w:noWrap w:val="0"/>
            <w:vAlign w:val="center"/>
          </w:tcPr>
          <w:p>
            <w:pPr>
              <w:jc w:val="center"/>
              <w:rPr>
                <w:rFonts w:hAnsi="宋体"/>
                <w:szCs w:val="21"/>
              </w:rPr>
            </w:pPr>
            <w:r>
              <w:rPr>
                <w:rFonts w:hint="eastAsia" w:hAnsi="宋体"/>
                <w:szCs w:val="21"/>
              </w:rPr>
              <w:t>与中盈化肥公司共用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21</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spacing w:line="300" w:lineRule="exact"/>
              <w:jc w:val="center"/>
              <w:rPr>
                <w:rFonts w:hAnsi="宋体"/>
                <w:szCs w:val="21"/>
              </w:rPr>
            </w:pPr>
          </w:p>
        </w:tc>
        <w:tc>
          <w:tcPr>
            <w:tcW w:w="2126" w:type="dxa"/>
            <w:noWrap w:val="0"/>
            <w:vAlign w:val="center"/>
          </w:tcPr>
          <w:p>
            <w:pPr>
              <w:snapToGrid w:val="0"/>
              <w:jc w:val="center"/>
              <w:rPr>
                <w:rFonts w:hint="eastAsia" w:ascii="宋体" w:hAnsi="宋体" w:cs="Arial"/>
                <w:kern w:val="0"/>
                <w:szCs w:val="21"/>
              </w:rPr>
            </w:pPr>
            <w:r>
              <w:rPr>
                <w:rFonts w:hint="eastAsia" w:ascii="宋体" w:hAnsi="宋体" w:cs="Arial"/>
                <w:kern w:val="0"/>
                <w:szCs w:val="21"/>
              </w:rPr>
              <w:t>盐酸</w:t>
            </w:r>
          </w:p>
        </w:tc>
        <w:tc>
          <w:tcPr>
            <w:tcW w:w="1446" w:type="dxa"/>
            <w:noWrap w:val="0"/>
            <w:vAlign w:val="center"/>
          </w:tcPr>
          <w:p>
            <w:pPr>
              <w:spacing w:line="300" w:lineRule="exact"/>
              <w:jc w:val="center"/>
              <w:rPr>
                <w:rFonts w:hAnsi="宋体"/>
                <w:szCs w:val="21"/>
              </w:rPr>
            </w:pPr>
            <w:r>
              <w:rPr>
                <w:rFonts w:hint="eastAsia" w:hAnsi="宋体"/>
                <w:szCs w:val="21"/>
              </w:rPr>
              <w:t>30</w:t>
            </w:r>
            <w:r>
              <w:rPr>
                <w:rFonts w:hAnsi="宋体"/>
                <w:szCs w:val="21"/>
              </w:rPr>
              <w:t>%H</w:t>
            </w:r>
            <w:r>
              <w:rPr>
                <w:rFonts w:hint="eastAsia" w:hAnsi="宋体"/>
                <w:szCs w:val="21"/>
              </w:rPr>
              <w:t>Cl</w:t>
            </w:r>
          </w:p>
        </w:tc>
        <w:tc>
          <w:tcPr>
            <w:tcW w:w="1788" w:type="dxa"/>
            <w:noWrap w:val="0"/>
            <w:vAlign w:val="center"/>
          </w:tcPr>
          <w:p>
            <w:pPr>
              <w:pStyle w:val="11"/>
              <w:adjustRightInd w:val="0"/>
              <w:snapToGrid w:val="0"/>
              <w:jc w:val="center"/>
              <w:rPr>
                <w:rFonts w:hint="eastAsia" w:ascii="Times New Roman" w:hAnsi="宋体" w:cs="Times New Roman"/>
              </w:rPr>
            </w:pPr>
            <w:r>
              <w:rPr>
                <w:rFonts w:hint="eastAsia" w:ascii="Times New Roman" w:hAnsi="宋体" w:cs="Times New Roman"/>
              </w:rPr>
              <w:t>91</w:t>
            </w:r>
            <w:r>
              <w:t xml:space="preserve"> t/a</w:t>
            </w:r>
          </w:p>
        </w:tc>
        <w:tc>
          <w:tcPr>
            <w:tcW w:w="1783" w:type="dxa"/>
            <w:vMerge w:val="continue"/>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22</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spacing w:line="300" w:lineRule="exact"/>
              <w:jc w:val="center"/>
              <w:rPr>
                <w:rFonts w:hAnsi="宋体"/>
                <w:szCs w:val="21"/>
              </w:rPr>
            </w:pPr>
          </w:p>
        </w:tc>
        <w:tc>
          <w:tcPr>
            <w:tcW w:w="2126" w:type="dxa"/>
            <w:noWrap w:val="0"/>
            <w:vAlign w:val="center"/>
          </w:tcPr>
          <w:p>
            <w:pPr>
              <w:snapToGrid w:val="0"/>
              <w:jc w:val="center"/>
              <w:rPr>
                <w:rFonts w:hint="eastAsia" w:ascii="宋体" w:hAnsi="宋体" w:cs="Arial"/>
                <w:kern w:val="0"/>
                <w:szCs w:val="21"/>
              </w:rPr>
            </w:pPr>
            <w:r>
              <w:rPr>
                <w:rFonts w:hint="eastAsia" w:ascii="宋体" w:hAnsi="宋体" w:cs="Arial"/>
                <w:szCs w:val="21"/>
              </w:rPr>
              <w:t>烧</w:t>
            </w:r>
            <w:r>
              <w:rPr>
                <w:rFonts w:ascii="宋体" w:hAnsi="宋体" w:cs="Arial"/>
                <w:szCs w:val="21"/>
              </w:rPr>
              <w:t>碱</w:t>
            </w:r>
          </w:p>
        </w:tc>
        <w:tc>
          <w:tcPr>
            <w:tcW w:w="1446" w:type="dxa"/>
            <w:noWrap w:val="0"/>
            <w:vAlign w:val="center"/>
          </w:tcPr>
          <w:p>
            <w:pPr>
              <w:spacing w:line="300" w:lineRule="exact"/>
              <w:jc w:val="center"/>
              <w:rPr>
                <w:rFonts w:hAnsi="宋体"/>
                <w:szCs w:val="21"/>
              </w:rPr>
            </w:pPr>
            <w:r>
              <w:rPr>
                <w:rFonts w:hAnsi="宋体"/>
                <w:szCs w:val="21"/>
              </w:rPr>
              <w:t>30%NaOH</w:t>
            </w:r>
          </w:p>
        </w:tc>
        <w:tc>
          <w:tcPr>
            <w:tcW w:w="1788" w:type="dxa"/>
            <w:noWrap w:val="0"/>
            <w:vAlign w:val="center"/>
          </w:tcPr>
          <w:p>
            <w:pPr>
              <w:adjustRightInd w:val="0"/>
              <w:snapToGrid w:val="0"/>
              <w:jc w:val="center"/>
              <w:rPr>
                <w:rFonts w:hint="eastAsia" w:hAnsi="宋体"/>
                <w:szCs w:val="21"/>
              </w:rPr>
            </w:pPr>
            <w:r>
              <w:rPr>
                <w:rFonts w:hint="eastAsia" w:hAnsi="宋体"/>
                <w:szCs w:val="21"/>
              </w:rPr>
              <w:t>73.5</w:t>
            </w:r>
            <w:r>
              <w:rPr>
                <w:szCs w:val="21"/>
              </w:rPr>
              <w:t xml:space="preserve"> t/a</w:t>
            </w:r>
          </w:p>
        </w:tc>
        <w:tc>
          <w:tcPr>
            <w:tcW w:w="1783" w:type="dxa"/>
            <w:vMerge w:val="continue"/>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23</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spacing w:line="300" w:lineRule="exact"/>
              <w:jc w:val="center"/>
              <w:rPr>
                <w:rFonts w:hAnsi="宋体"/>
                <w:szCs w:val="21"/>
              </w:rPr>
            </w:pPr>
          </w:p>
        </w:tc>
        <w:tc>
          <w:tcPr>
            <w:tcW w:w="2126" w:type="dxa"/>
            <w:noWrap w:val="0"/>
            <w:vAlign w:val="center"/>
          </w:tcPr>
          <w:p>
            <w:pPr>
              <w:snapToGrid w:val="0"/>
              <w:jc w:val="center"/>
              <w:rPr>
                <w:rFonts w:ascii="宋体" w:hAnsi="宋体" w:cs="Arial"/>
                <w:szCs w:val="21"/>
              </w:rPr>
            </w:pPr>
            <w:r>
              <w:rPr>
                <w:rFonts w:hint="eastAsia" w:ascii="宋体" w:hAnsi="宋体"/>
                <w:szCs w:val="21"/>
              </w:rPr>
              <w:t>强酸阳树脂</w:t>
            </w:r>
          </w:p>
        </w:tc>
        <w:tc>
          <w:tcPr>
            <w:tcW w:w="1446" w:type="dxa"/>
            <w:noWrap w:val="0"/>
            <w:vAlign w:val="center"/>
          </w:tcPr>
          <w:p>
            <w:pPr>
              <w:spacing w:line="300" w:lineRule="exact"/>
              <w:jc w:val="center"/>
              <w:rPr>
                <w:rFonts w:hAnsi="宋体"/>
                <w:szCs w:val="21"/>
              </w:rPr>
            </w:pPr>
            <w:r>
              <w:rPr>
                <w:rFonts w:hint="eastAsia" w:hAnsi="宋体"/>
                <w:szCs w:val="21"/>
              </w:rPr>
              <w:t>001</w:t>
            </w:r>
            <w:r>
              <w:rPr>
                <w:rFonts w:hAnsi="宋体"/>
                <w:szCs w:val="21"/>
              </w:rPr>
              <w:t>×</w:t>
            </w:r>
            <w:r>
              <w:rPr>
                <w:rFonts w:hint="eastAsia" w:hAnsi="宋体"/>
                <w:szCs w:val="21"/>
              </w:rPr>
              <w:t>7MB</w:t>
            </w:r>
          </w:p>
        </w:tc>
        <w:tc>
          <w:tcPr>
            <w:tcW w:w="1788" w:type="dxa"/>
            <w:noWrap w:val="0"/>
            <w:vAlign w:val="center"/>
          </w:tcPr>
          <w:p>
            <w:pPr>
              <w:adjustRightInd w:val="0"/>
              <w:snapToGrid w:val="0"/>
              <w:jc w:val="center"/>
              <w:rPr>
                <w:rFonts w:hint="eastAsia" w:hAnsi="宋体"/>
                <w:szCs w:val="21"/>
              </w:rPr>
            </w:pPr>
            <w:r>
              <w:rPr>
                <w:rFonts w:hint="eastAsia" w:hAnsi="宋体"/>
                <w:szCs w:val="21"/>
              </w:rPr>
              <w:t>0.8</w:t>
            </w:r>
            <w:r>
              <w:rPr>
                <w:szCs w:val="21"/>
              </w:rPr>
              <w:t xml:space="preserve"> t/a</w:t>
            </w:r>
          </w:p>
        </w:tc>
        <w:tc>
          <w:tcPr>
            <w:tcW w:w="1783" w:type="dxa"/>
            <w:vMerge w:val="continue"/>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24</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spacing w:line="300" w:lineRule="exact"/>
              <w:jc w:val="center"/>
              <w:rPr>
                <w:rFonts w:hAnsi="宋体"/>
                <w:szCs w:val="21"/>
              </w:rPr>
            </w:pPr>
          </w:p>
        </w:tc>
        <w:tc>
          <w:tcPr>
            <w:tcW w:w="2126" w:type="dxa"/>
            <w:noWrap w:val="0"/>
            <w:vAlign w:val="center"/>
          </w:tcPr>
          <w:p>
            <w:pPr>
              <w:snapToGrid w:val="0"/>
              <w:jc w:val="center"/>
              <w:rPr>
                <w:rFonts w:hint="eastAsia" w:ascii="宋体" w:hAnsi="宋体" w:cs="Arial"/>
                <w:szCs w:val="21"/>
              </w:rPr>
            </w:pPr>
            <w:r>
              <w:rPr>
                <w:rFonts w:hint="eastAsia" w:ascii="宋体" w:hAnsi="宋体"/>
                <w:szCs w:val="21"/>
              </w:rPr>
              <w:t>强碱阴树脂</w:t>
            </w:r>
          </w:p>
        </w:tc>
        <w:tc>
          <w:tcPr>
            <w:tcW w:w="1446" w:type="dxa"/>
            <w:noWrap w:val="0"/>
            <w:vAlign w:val="center"/>
          </w:tcPr>
          <w:p>
            <w:pPr>
              <w:spacing w:line="300" w:lineRule="exact"/>
              <w:jc w:val="center"/>
              <w:rPr>
                <w:rFonts w:hAnsi="宋体"/>
                <w:szCs w:val="21"/>
              </w:rPr>
            </w:pPr>
            <w:r>
              <w:rPr>
                <w:rFonts w:hAnsi="宋体"/>
                <w:szCs w:val="21"/>
              </w:rPr>
              <w:t>201×7MB</w:t>
            </w:r>
          </w:p>
        </w:tc>
        <w:tc>
          <w:tcPr>
            <w:tcW w:w="1788" w:type="dxa"/>
            <w:noWrap w:val="0"/>
            <w:vAlign w:val="center"/>
          </w:tcPr>
          <w:p>
            <w:pPr>
              <w:adjustRightInd w:val="0"/>
              <w:snapToGrid w:val="0"/>
              <w:jc w:val="center"/>
              <w:rPr>
                <w:rFonts w:hint="eastAsia" w:hAnsi="宋体"/>
                <w:szCs w:val="21"/>
              </w:rPr>
            </w:pPr>
            <w:r>
              <w:rPr>
                <w:rFonts w:hint="eastAsia" w:hAnsi="宋体"/>
                <w:szCs w:val="21"/>
              </w:rPr>
              <w:t>1.9</w:t>
            </w:r>
            <w:r>
              <w:rPr>
                <w:szCs w:val="21"/>
              </w:rPr>
              <w:t xml:space="preserve"> t/a</w:t>
            </w:r>
          </w:p>
        </w:tc>
        <w:tc>
          <w:tcPr>
            <w:tcW w:w="1783" w:type="dxa"/>
            <w:vMerge w:val="continue"/>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25</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spacing w:line="300" w:lineRule="exact"/>
              <w:jc w:val="center"/>
              <w:rPr>
                <w:rFonts w:hAnsi="宋体"/>
                <w:szCs w:val="21"/>
              </w:rPr>
            </w:pPr>
          </w:p>
        </w:tc>
        <w:tc>
          <w:tcPr>
            <w:tcW w:w="2126" w:type="dxa"/>
            <w:noWrap w:val="0"/>
            <w:vAlign w:val="center"/>
          </w:tcPr>
          <w:p>
            <w:pPr>
              <w:snapToGrid w:val="0"/>
              <w:jc w:val="center"/>
              <w:rPr>
                <w:rFonts w:hint="eastAsia" w:ascii="宋体" w:hAnsi="宋体"/>
                <w:szCs w:val="21"/>
              </w:rPr>
            </w:pPr>
            <w:r>
              <w:rPr>
                <w:rFonts w:hint="eastAsia" w:ascii="宋体" w:hAnsi="宋体"/>
                <w:szCs w:val="21"/>
              </w:rPr>
              <w:t>强酸阳树脂</w:t>
            </w:r>
          </w:p>
        </w:tc>
        <w:tc>
          <w:tcPr>
            <w:tcW w:w="1446" w:type="dxa"/>
            <w:noWrap w:val="0"/>
            <w:vAlign w:val="center"/>
          </w:tcPr>
          <w:p>
            <w:pPr>
              <w:spacing w:line="300" w:lineRule="exact"/>
              <w:jc w:val="center"/>
              <w:rPr>
                <w:rFonts w:hint="eastAsia" w:hAnsi="宋体"/>
                <w:szCs w:val="21"/>
              </w:rPr>
            </w:pPr>
            <w:r>
              <w:rPr>
                <w:rFonts w:hint="eastAsia" w:hAnsi="宋体"/>
                <w:szCs w:val="21"/>
              </w:rPr>
              <w:t>001</w:t>
            </w:r>
            <w:r>
              <w:rPr>
                <w:rFonts w:hAnsi="宋体"/>
                <w:szCs w:val="21"/>
              </w:rPr>
              <w:t>×</w:t>
            </w:r>
            <w:r>
              <w:rPr>
                <w:rFonts w:hint="eastAsia" w:hAnsi="宋体"/>
                <w:szCs w:val="21"/>
              </w:rPr>
              <w:t>7</w:t>
            </w:r>
            <w:r>
              <w:rPr>
                <w:rFonts w:hAnsi="宋体"/>
                <w:szCs w:val="21"/>
              </w:rPr>
              <w:t>FC</w:t>
            </w:r>
          </w:p>
        </w:tc>
        <w:tc>
          <w:tcPr>
            <w:tcW w:w="1788" w:type="dxa"/>
            <w:noWrap w:val="0"/>
            <w:vAlign w:val="center"/>
          </w:tcPr>
          <w:p>
            <w:pPr>
              <w:adjustRightInd w:val="0"/>
              <w:snapToGrid w:val="0"/>
              <w:jc w:val="center"/>
              <w:rPr>
                <w:rFonts w:hAnsi="宋体"/>
                <w:szCs w:val="21"/>
              </w:rPr>
            </w:pPr>
            <w:r>
              <w:rPr>
                <w:rFonts w:hint="eastAsia" w:hAnsi="宋体"/>
                <w:szCs w:val="21"/>
              </w:rPr>
              <w:t>5.9</w:t>
            </w:r>
            <w:r>
              <w:rPr>
                <w:szCs w:val="21"/>
              </w:rPr>
              <w:t xml:space="preserve"> t/a</w:t>
            </w:r>
          </w:p>
        </w:tc>
        <w:tc>
          <w:tcPr>
            <w:tcW w:w="1783" w:type="dxa"/>
            <w:vMerge w:val="continue"/>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26</w:t>
            </w:r>
          </w:p>
        </w:tc>
        <w:tc>
          <w:tcPr>
            <w:tcW w:w="665" w:type="dxa"/>
            <w:vMerge w:val="restart"/>
            <w:noWrap w:val="0"/>
            <w:vAlign w:val="center"/>
          </w:tcPr>
          <w:p>
            <w:pPr>
              <w:spacing w:line="300" w:lineRule="exact"/>
              <w:jc w:val="center"/>
              <w:rPr>
                <w:rFonts w:hint="eastAsia" w:hAnsi="宋体"/>
                <w:szCs w:val="21"/>
              </w:rPr>
            </w:pPr>
            <w:r>
              <w:rPr>
                <w:rFonts w:hAnsi="宋体"/>
                <w:szCs w:val="21"/>
              </w:rPr>
              <w:t>动</w:t>
            </w:r>
          </w:p>
          <w:p>
            <w:pPr>
              <w:spacing w:line="300" w:lineRule="exact"/>
              <w:jc w:val="center"/>
              <w:rPr>
                <w:szCs w:val="21"/>
              </w:rPr>
            </w:pPr>
            <w:r>
              <w:rPr>
                <w:rFonts w:hAnsi="宋体"/>
                <w:szCs w:val="21"/>
              </w:rPr>
              <w:t>力</w:t>
            </w:r>
          </w:p>
        </w:tc>
        <w:tc>
          <w:tcPr>
            <w:tcW w:w="709" w:type="dxa"/>
            <w:vMerge w:val="restart"/>
            <w:noWrap w:val="0"/>
            <w:vAlign w:val="center"/>
          </w:tcPr>
          <w:p>
            <w:pPr>
              <w:pStyle w:val="57"/>
              <w:spacing w:line="280" w:lineRule="exact"/>
              <w:rPr>
                <w:rFonts w:hint="eastAsia" w:ascii="Times New Roman" w:hAnsi="Times New Roman"/>
                <w:kern w:val="0"/>
                <w:szCs w:val="21"/>
              </w:rPr>
            </w:pPr>
            <w:r>
              <w:rPr>
                <w:rFonts w:hint="eastAsia" w:ascii="Times New Roman" w:hAnsi="Times New Roman"/>
                <w:kern w:val="0"/>
                <w:szCs w:val="21"/>
              </w:rPr>
              <w:t>合</w:t>
            </w:r>
          </w:p>
          <w:p>
            <w:pPr>
              <w:pStyle w:val="57"/>
              <w:spacing w:line="280" w:lineRule="exact"/>
              <w:rPr>
                <w:rFonts w:hint="eastAsia" w:ascii="Times New Roman" w:hAnsi="Times New Roman"/>
                <w:kern w:val="0"/>
                <w:szCs w:val="21"/>
              </w:rPr>
            </w:pPr>
            <w:r>
              <w:rPr>
                <w:rFonts w:hint="eastAsia" w:ascii="Times New Roman" w:hAnsi="Times New Roman"/>
                <w:kern w:val="0"/>
                <w:szCs w:val="21"/>
              </w:rPr>
              <w:t>成</w:t>
            </w:r>
          </w:p>
          <w:p>
            <w:pPr>
              <w:pStyle w:val="57"/>
              <w:spacing w:line="280" w:lineRule="exact"/>
              <w:rPr>
                <w:rFonts w:hint="eastAsia" w:ascii="Times New Roman" w:hAnsi="Times New Roman"/>
                <w:kern w:val="0"/>
                <w:szCs w:val="21"/>
              </w:rPr>
            </w:pPr>
            <w:r>
              <w:rPr>
                <w:rFonts w:hint="eastAsia" w:ascii="Times New Roman" w:hAnsi="Times New Roman"/>
                <w:kern w:val="0"/>
                <w:szCs w:val="21"/>
              </w:rPr>
              <w:t>气</w:t>
            </w:r>
          </w:p>
        </w:tc>
        <w:tc>
          <w:tcPr>
            <w:tcW w:w="2126" w:type="dxa"/>
            <w:noWrap w:val="0"/>
            <w:vAlign w:val="center"/>
          </w:tcPr>
          <w:p>
            <w:pPr>
              <w:pStyle w:val="57"/>
              <w:spacing w:line="280" w:lineRule="exact"/>
              <w:rPr>
                <w:rFonts w:ascii="Times New Roman" w:hAnsi="Times New Roman"/>
                <w:kern w:val="0"/>
                <w:szCs w:val="21"/>
              </w:rPr>
            </w:pPr>
            <w:r>
              <w:rPr>
                <w:rFonts w:ascii="Times New Roman" w:hAnsi="Times New Roman"/>
                <w:kern w:val="0"/>
                <w:szCs w:val="21"/>
              </w:rPr>
              <w:t>一次水</w:t>
            </w:r>
          </w:p>
        </w:tc>
        <w:tc>
          <w:tcPr>
            <w:tcW w:w="1446" w:type="dxa"/>
            <w:noWrap w:val="0"/>
            <w:vAlign w:val="center"/>
          </w:tcPr>
          <w:p>
            <w:pPr>
              <w:pStyle w:val="57"/>
              <w:spacing w:line="280" w:lineRule="exact"/>
              <w:rPr>
                <w:rFonts w:ascii="Times New Roman" w:hAnsi="Times New Roman"/>
                <w:kern w:val="0"/>
                <w:szCs w:val="21"/>
              </w:rPr>
            </w:pPr>
          </w:p>
        </w:tc>
        <w:tc>
          <w:tcPr>
            <w:tcW w:w="1788" w:type="dxa"/>
            <w:noWrap w:val="0"/>
            <w:vAlign w:val="center"/>
          </w:tcPr>
          <w:p>
            <w:pPr>
              <w:pStyle w:val="57"/>
              <w:spacing w:line="280" w:lineRule="exact"/>
              <w:rPr>
                <w:rFonts w:ascii="Times New Roman" w:hAnsi="Times New Roman"/>
                <w:kern w:val="0"/>
                <w:szCs w:val="21"/>
              </w:rPr>
            </w:pPr>
            <w:r>
              <w:rPr>
                <w:rFonts w:hint="eastAsia" w:ascii="Times New Roman" w:hAnsi="Times New Roman"/>
                <w:kern w:val="0"/>
                <w:szCs w:val="21"/>
              </w:rPr>
              <w:t>15</w:t>
            </w:r>
            <w:r>
              <w:rPr>
                <w:rFonts w:ascii="Times New Roman" w:hAnsi="Times New Roman"/>
                <w:kern w:val="0"/>
                <w:szCs w:val="21"/>
              </w:rPr>
              <w:t>00 m</w:t>
            </w:r>
            <w:r>
              <w:rPr>
                <w:rFonts w:ascii="Times New Roman" w:hAnsi="Times New Roman"/>
                <w:kern w:val="0"/>
                <w:szCs w:val="21"/>
                <w:vertAlign w:val="superscript"/>
              </w:rPr>
              <w:t>3</w:t>
            </w:r>
            <w:r>
              <w:rPr>
                <w:rFonts w:ascii="Times New Roman" w:hAnsi="Times New Roman"/>
                <w:kern w:val="0"/>
                <w:szCs w:val="21"/>
              </w:rPr>
              <w:t>/h</w:t>
            </w:r>
          </w:p>
        </w:tc>
        <w:tc>
          <w:tcPr>
            <w:tcW w:w="1783" w:type="dxa"/>
            <w:noWrap w:val="0"/>
            <w:vAlign w:val="center"/>
          </w:tcPr>
          <w:p>
            <w:pPr>
              <w:spacing w:line="300" w:lineRule="exact"/>
              <w:jc w:val="center"/>
              <w:rPr>
                <w:color w:val="FF66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27</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pStyle w:val="57"/>
              <w:spacing w:line="280" w:lineRule="exact"/>
              <w:rPr>
                <w:rFonts w:ascii="Times New Roman" w:hAnsi="Times New Roman"/>
                <w:color w:val="000000"/>
                <w:kern w:val="0"/>
                <w:szCs w:val="21"/>
              </w:rPr>
            </w:pPr>
          </w:p>
        </w:tc>
        <w:tc>
          <w:tcPr>
            <w:tcW w:w="2126" w:type="dxa"/>
            <w:noWrap w:val="0"/>
            <w:vAlign w:val="center"/>
          </w:tcPr>
          <w:p>
            <w:pPr>
              <w:pStyle w:val="57"/>
              <w:spacing w:line="280" w:lineRule="exact"/>
              <w:rPr>
                <w:rFonts w:ascii="Times New Roman" w:hAnsi="Times New Roman"/>
                <w:color w:val="000000"/>
                <w:kern w:val="0"/>
                <w:szCs w:val="21"/>
              </w:rPr>
            </w:pPr>
            <w:r>
              <w:rPr>
                <w:rFonts w:ascii="Times New Roman" w:hAnsi="Times New Roman"/>
                <w:color w:val="000000"/>
                <w:kern w:val="0"/>
                <w:szCs w:val="21"/>
              </w:rPr>
              <w:t>电</w:t>
            </w:r>
          </w:p>
        </w:tc>
        <w:tc>
          <w:tcPr>
            <w:tcW w:w="1446" w:type="dxa"/>
            <w:noWrap w:val="0"/>
            <w:vAlign w:val="center"/>
          </w:tcPr>
          <w:p>
            <w:pPr>
              <w:pStyle w:val="57"/>
              <w:spacing w:line="280" w:lineRule="exact"/>
              <w:rPr>
                <w:rFonts w:ascii="Times New Roman" w:hAnsi="Times New Roman"/>
                <w:color w:val="000000"/>
                <w:kern w:val="0"/>
                <w:szCs w:val="21"/>
              </w:rPr>
            </w:pPr>
          </w:p>
        </w:tc>
        <w:tc>
          <w:tcPr>
            <w:tcW w:w="1788" w:type="dxa"/>
            <w:noWrap w:val="0"/>
            <w:vAlign w:val="center"/>
          </w:tcPr>
          <w:p>
            <w:pPr>
              <w:pStyle w:val="57"/>
              <w:spacing w:line="280" w:lineRule="exact"/>
              <w:rPr>
                <w:rFonts w:ascii="Times New Roman" w:hAnsi="Times New Roman"/>
                <w:color w:val="000000"/>
                <w:kern w:val="0"/>
                <w:szCs w:val="21"/>
              </w:rPr>
            </w:pPr>
            <w:r>
              <w:rPr>
                <w:rFonts w:hint="eastAsia" w:ascii="Times New Roman" w:hAnsi="Times New Roman"/>
                <w:color w:val="000000"/>
                <w:kern w:val="0"/>
                <w:szCs w:val="21"/>
              </w:rPr>
              <w:t>3.72</w:t>
            </w:r>
            <w:r>
              <w:rPr>
                <w:rFonts w:ascii="Times New Roman" w:hAnsi="Times New Roman"/>
                <w:color w:val="000000"/>
                <w:kern w:val="0"/>
                <w:szCs w:val="21"/>
              </w:rPr>
              <w:t>×10</w:t>
            </w:r>
            <w:r>
              <w:rPr>
                <w:rFonts w:hint="eastAsia" w:ascii="Times New Roman" w:hAnsi="Times New Roman"/>
                <w:color w:val="000000"/>
                <w:kern w:val="0"/>
                <w:szCs w:val="21"/>
                <w:vertAlign w:val="superscript"/>
              </w:rPr>
              <w:t>8</w:t>
            </w:r>
            <w:r>
              <w:rPr>
                <w:rFonts w:ascii="Times New Roman" w:hAnsi="Times New Roman"/>
                <w:color w:val="000000"/>
                <w:kern w:val="0"/>
                <w:szCs w:val="21"/>
              </w:rPr>
              <w:t xml:space="preserve"> kWh/a</w:t>
            </w:r>
          </w:p>
        </w:tc>
        <w:tc>
          <w:tcPr>
            <w:tcW w:w="1783" w:type="dxa"/>
            <w:noWrap w:val="0"/>
            <w:vAlign w:val="center"/>
          </w:tcPr>
          <w:p>
            <w:pPr>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center"/>
          </w:tcPr>
          <w:p>
            <w:pPr>
              <w:spacing w:line="300" w:lineRule="exact"/>
              <w:jc w:val="center"/>
              <w:rPr>
                <w:rFonts w:hint="eastAsia"/>
                <w:szCs w:val="21"/>
              </w:rPr>
            </w:pPr>
            <w:r>
              <w:rPr>
                <w:rFonts w:hint="eastAsia"/>
                <w:szCs w:val="21"/>
              </w:rPr>
              <w:t>28</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pStyle w:val="57"/>
              <w:spacing w:line="280" w:lineRule="exact"/>
              <w:rPr>
                <w:rFonts w:ascii="Times New Roman" w:hAnsi="Times New Roman"/>
                <w:color w:val="000000"/>
                <w:kern w:val="0"/>
                <w:szCs w:val="21"/>
              </w:rPr>
            </w:pPr>
          </w:p>
        </w:tc>
        <w:tc>
          <w:tcPr>
            <w:tcW w:w="2126" w:type="dxa"/>
            <w:noWrap w:val="0"/>
            <w:vAlign w:val="center"/>
          </w:tcPr>
          <w:p>
            <w:pPr>
              <w:spacing w:line="300" w:lineRule="exact"/>
              <w:jc w:val="center"/>
              <w:rPr>
                <w:rFonts w:hint="eastAsia"/>
                <w:szCs w:val="21"/>
              </w:rPr>
            </w:pPr>
            <w:r>
              <w:rPr>
                <w:rFonts w:hint="eastAsia" w:hAnsi="宋体"/>
                <w:szCs w:val="21"/>
              </w:rPr>
              <w:t>天然气</w:t>
            </w:r>
          </w:p>
        </w:tc>
        <w:tc>
          <w:tcPr>
            <w:tcW w:w="1446" w:type="dxa"/>
            <w:noWrap w:val="0"/>
            <w:vAlign w:val="center"/>
          </w:tcPr>
          <w:p>
            <w:pPr>
              <w:spacing w:line="300" w:lineRule="exact"/>
              <w:jc w:val="center"/>
              <w:rPr>
                <w:szCs w:val="21"/>
              </w:rPr>
            </w:pPr>
          </w:p>
        </w:tc>
        <w:tc>
          <w:tcPr>
            <w:tcW w:w="1788" w:type="dxa"/>
            <w:noWrap w:val="0"/>
            <w:vAlign w:val="bottom"/>
          </w:tcPr>
          <w:p>
            <w:pPr>
              <w:spacing w:line="360" w:lineRule="auto"/>
              <w:jc w:val="center"/>
              <w:rPr>
                <w:rFonts w:ascii="宋体" w:hAnsi="宋体"/>
              </w:rPr>
            </w:pPr>
            <w:r>
              <w:rPr>
                <w:rFonts w:hint="eastAsia"/>
                <w:szCs w:val="21"/>
              </w:rPr>
              <w:t>230874 Nm</w:t>
            </w:r>
            <w:r>
              <w:rPr>
                <w:rFonts w:hint="eastAsia"/>
                <w:szCs w:val="21"/>
                <w:vertAlign w:val="superscript"/>
              </w:rPr>
              <w:t>3</w:t>
            </w:r>
          </w:p>
        </w:tc>
        <w:tc>
          <w:tcPr>
            <w:tcW w:w="1783" w:type="dxa"/>
            <w:noWrap w:val="0"/>
            <w:vAlign w:val="center"/>
          </w:tcPr>
          <w:p>
            <w:pPr>
              <w:spacing w:line="300" w:lineRule="exact"/>
              <w:jc w:val="center"/>
              <w:rPr>
                <w:szCs w:val="21"/>
              </w:rPr>
            </w:pPr>
            <w:r>
              <w:rPr>
                <w:rFonts w:hint="eastAsia" w:ascii="宋体" w:hAnsi="宋体"/>
              </w:rPr>
              <w:t>变换开工加热炉及气化炉开车用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29</w:t>
            </w:r>
          </w:p>
        </w:tc>
        <w:tc>
          <w:tcPr>
            <w:tcW w:w="665" w:type="dxa"/>
            <w:vMerge w:val="continue"/>
            <w:noWrap w:val="0"/>
            <w:vAlign w:val="center"/>
          </w:tcPr>
          <w:p>
            <w:pPr>
              <w:spacing w:line="300" w:lineRule="exact"/>
              <w:jc w:val="center"/>
              <w:rPr>
                <w:szCs w:val="21"/>
              </w:rPr>
            </w:pPr>
          </w:p>
        </w:tc>
        <w:tc>
          <w:tcPr>
            <w:tcW w:w="709" w:type="dxa"/>
            <w:vMerge w:val="restart"/>
            <w:noWrap w:val="0"/>
            <w:vAlign w:val="center"/>
          </w:tcPr>
          <w:p>
            <w:pPr>
              <w:pStyle w:val="57"/>
              <w:spacing w:line="280" w:lineRule="exact"/>
              <w:rPr>
                <w:rFonts w:hint="eastAsia" w:ascii="Times New Roman" w:hAnsi="Times New Roman"/>
                <w:color w:val="000000"/>
                <w:kern w:val="0"/>
                <w:szCs w:val="21"/>
              </w:rPr>
            </w:pPr>
            <w:r>
              <w:rPr>
                <w:rFonts w:hint="eastAsia" w:ascii="Times New Roman" w:hAnsi="Times New Roman"/>
                <w:color w:val="000000"/>
                <w:kern w:val="0"/>
                <w:szCs w:val="21"/>
              </w:rPr>
              <w:t>脱盐水站</w:t>
            </w:r>
          </w:p>
        </w:tc>
        <w:tc>
          <w:tcPr>
            <w:tcW w:w="2126" w:type="dxa"/>
            <w:noWrap w:val="0"/>
            <w:vAlign w:val="center"/>
          </w:tcPr>
          <w:p>
            <w:pPr>
              <w:snapToGrid w:val="0"/>
              <w:jc w:val="center"/>
              <w:rPr>
                <w:rFonts w:hint="eastAsia" w:ascii="宋体" w:hAnsi="宋体" w:cs="Arial"/>
                <w:kern w:val="0"/>
                <w:szCs w:val="21"/>
              </w:rPr>
            </w:pPr>
            <w:r>
              <w:rPr>
                <w:rFonts w:hint="eastAsia"/>
                <w:color w:val="000000"/>
                <w:kern w:val="0"/>
                <w:szCs w:val="21"/>
              </w:rPr>
              <w:t>一次水</w:t>
            </w:r>
          </w:p>
        </w:tc>
        <w:tc>
          <w:tcPr>
            <w:tcW w:w="1446" w:type="dxa"/>
            <w:noWrap w:val="0"/>
            <w:vAlign w:val="center"/>
          </w:tcPr>
          <w:p>
            <w:pPr>
              <w:pStyle w:val="58"/>
              <w:spacing w:line="280" w:lineRule="exact"/>
              <w:rPr>
                <w:color w:val="000000"/>
                <w:kern w:val="0"/>
                <w:szCs w:val="21"/>
              </w:rPr>
            </w:pPr>
          </w:p>
        </w:tc>
        <w:tc>
          <w:tcPr>
            <w:tcW w:w="1788" w:type="dxa"/>
            <w:noWrap w:val="0"/>
            <w:vAlign w:val="center"/>
          </w:tcPr>
          <w:p>
            <w:pPr>
              <w:pStyle w:val="11"/>
              <w:adjustRightInd w:val="0"/>
              <w:snapToGrid w:val="0"/>
              <w:jc w:val="center"/>
              <w:rPr>
                <w:rFonts w:hint="eastAsia" w:hAnsi="宋体" w:cs="Arial"/>
                <w:kern w:val="0"/>
              </w:rPr>
            </w:pPr>
            <w:r>
              <w:rPr>
                <w:rFonts w:hint="eastAsia" w:hAnsi="宋体" w:cs="Arial"/>
                <w:kern w:val="0"/>
              </w:rPr>
              <w:t>8</w:t>
            </w:r>
            <w:r>
              <w:rPr>
                <w:rFonts w:hint="eastAsia" w:ascii="Times New Roman" w:hAnsi="宋体" w:cs="Arial"/>
                <w:kern w:val="0"/>
                <w:szCs w:val="24"/>
              </w:rPr>
              <w:t>.67</w:t>
            </w:r>
            <w:r>
              <w:rPr>
                <w:rFonts w:ascii="Times New Roman" w:hAnsi="宋体" w:cs="Arial"/>
                <w:kern w:val="0"/>
                <w:szCs w:val="24"/>
              </w:rPr>
              <w:t>×10</w:t>
            </w:r>
            <w:r>
              <w:rPr>
                <w:rFonts w:hint="eastAsia" w:ascii="Times New Roman" w:hAnsi="宋体" w:cs="Arial"/>
                <w:kern w:val="0"/>
                <w:szCs w:val="24"/>
                <w:vertAlign w:val="superscript"/>
              </w:rPr>
              <w:t>5</w:t>
            </w:r>
            <w:r>
              <w:t xml:space="preserve"> t/a</w:t>
            </w:r>
          </w:p>
        </w:tc>
        <w:tc>
          <w:tcPr>
            <w:tcW w:w="1783" w:type="dxa"/>
            <w:vMerge w:val="restart"/>
            <w:noWrap w:val="0"/>
            <w:vAlign w:val="center"/>
          </w:tcPr>
          <w:p>
            <w:pPr>
              <w:spacing w:line="300" w:lineRule="exact"/>
              <w:jc w:val="center"/>
              <w:rPr>
                <w:szCs w:val="21"/>
              </w:rPr>
            </w:pPr>
            <w:r>
              <w:rPr>
                <w:rFonts w:hint="eastAsia" w:hAnsi="宋体"/>
                <w:szCs w:val="21"/>
              </w:rPr>
              <w:t>与中盈化肥公司共用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noWrap w:val="0"/>
            <w:vAlign w:val="top"/>
          </w:tcPr>
          <w:p>
            <w:pPr>
              <w:spacing w:line="300" w:lineRule="exact"/>
              <w:jc w:val="center"/>
              <w:rPr>
                <w:rFonts w:hint="eastAsia"/>
                <w:szCs w:val="21"/>
              </w:rPr>
            </w:pPr>
            <w:r>
              <w:rPr>
                <w:rFonts w:hint="eastAsia"/>
                <w:szCs w:val="21"/>
              </w:rPr>
              <w:t>30</w:t>
            </w:r>
          </w:p>
        </w:tc>
        <w:tc>
          <w:tcPr>
            <w:tcW w:w="665" w:type="dxa"/>
            <w:vMerge w:val="continue"/>
            <w:noWrap w:val="0"/>
            <w:vAlign w:val="center"/>
          </w:tcPr>
          <w:p>
            <w:pPr>
              <w:spacing w:line="300" w:lineRule="exact"/>
              <w:jc w:val="center"/>
              <w:rPr>
                <w:szCs w:val="21"/>
              </w:rPr>
            </w:pPr>
          </w:p>
        </w:tc>
        <w:tc>
          <w:tcPr>
            <w:tcW w:w="709" w:type="dxa"/>
            <w:vMerge w:val="continue"/>
            <w:noWrap w:val="0"/>
            <w:vAlign w:val="top"/>
          </w:tcPr>
          <w:p>
            <w:pPr>
              <w:pStyle w:val="58"/>
              <w:spacing w:line="280" w:lineRule="exact"/>
              <w:rPr>
                <w:color w:val="000000"/>
                <w:kern w:val="0"/>
                <w:szCs w:val="21"/>
              </w:rPr>
            </w:pPr>
          </w:p>
        </w:tc>
        <w:tc>
          <w:tcPr>
            <w:tcW w:w="2126" w:type="dxa"/>
            <w:noWrap w:val="0"/>
            <w:vAlign w:val="center"/>
          </w:tcPr>
          <w:p>
            <w:pPr>
              <w:snapToGrid w:val="0"/>
              <w:jc w:val="center"/>
              <w:rPr>
                <w:rFonts w:ascii="宋体" w:hAnsi="宋体" w:cs="Arial"/>
                <w:kern w:val="0"/>
                <w:szCs w:val="21"/>
              </w:rPr>
            </w:pPr>
            <w:r>
              <w:rPr>
                <w:rFonts w:hint="eastAsia"/>
                <w:color w:val="000000"/>
                <w:kern w:val="0"/>
                <w:szCs w:val="21"/>
              </w:rPr>
              <w:t>电</w:t>
            </w:r>
          </w:p>
        </w:tc>
        <w:tc>
          <w:tcPr>
            <w:tcW w:w="1446" w:type="dxa"/>
            <w:noWrap w:val="0"/>
            <w:vAlign w:val="center"/>
          </w:tcPr>
          <w:p>
            <w:pPr>
              <w:pStyle w:val="58"/>
              <w:spacing w:line="280" w:lineRule="exact"/>
              <w:rPr>
                <w:color w:val="000000"/>
                <w:kern w:val="0"/>
                <w:szCs w:val="21"/>
              </w:rPr>
            </w:pPr>
          </w:p>
        </w:tc>
        <w:tc>
          <w:tcPr>
            <w:tcW w:w="1788" w:type="dxa"/>
            <w:noWrap w:val="0"/>
            <w:vAlign w:val="center"/>
          </w:tcPr>
          <w:p>
            <w:pPr>
              <w:adjustRightInd w:val="0"/>
              <w:snapToGrid w:val="0"/>
              <w:jc w:val="center"/>
              <w:rPr>
                <w:rFonts w:hint="eastAsia" w:hAnsi="宋体" w:cs="Arial"/>
                <w:kern w:val="0"/>
              </w:rPr>
            </w:pPr>
            <w:r>
              <w:rPr>
                <w:rFonts w:hint="eastAsia" w:hAnsi="宋体" w:cs="Arial"/>
                <w:kern w:val="0"/>
              </w:rPr>
              <w:t>3.18</w:t>
            </w:r>
            <w:r>
              <w:rPr>
                <w:rFonts w:hAnsi="宋体" w:cs="Arial"/>
                <w:kern w:val="0"/>
              </w:rPr>
              <w:t>×10</w:t>
            </w:r>
            <w:r>
              <w:rPr>
                <w:rFonts w:hint="eastAsia" w:hAnsi="宋体" w:cs="Arial"/>
                <w:kern w:val="0"/>
                <w:vertAlign w:val="superscript"/>
              </w:rPr>
              <w:t>6</w:t>
            </w:r>
            <w:r>
              <w:rPr>
                <w:color w:val="000000"/>
                <w:kern w:val="0"/>
                <w:szCs w:val="21"/>
              </w:rPr>
              <w:t xml:space="preserve"> kWh/a</w:t>
            </w:r>
          </w:p>
        </w:tc>
        <w:tc>
          <w:tcPr>
            <w:tcW w:w="1783" w:type="dxa"/>
            <w:vMerge w:val="continue"/>
            <w:noWrap w:val="0"/>
            <w:vAlign w:val="center"/>
          </w:tcPr>
          <w:p>
            <w:pPr>
              <w:spacing w:line="300" w:lineRule="exact"/>
              <w:jc w:val="center"/>
              <w:rPr>
                <w:szCs w:val="21"/>
              </w:rPr>
            </w:pPr>
          </w:p>
        </w:tc>
      </w:tr>
    </w:tbl>
    <w:p>
      <w:pPr>
        <w:pStyle w:val="2"/>
        <w:ind w:left="0" w:leftChars="0" w:firstLine="0" w:firstLineChars="0"/>
        <w:rPr>
          <w:rFonts w:hint="default"/>
        </w:rPr>
      </w:pP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en-US" w:eastAsia="zh-CN"/>
        </w:rPr>
      </w:pPr>
      <w:bookmarkStart w:id="29" w:name="_Toc6034_WPSOffice_Level3"/>
      <w:bookmarkStart w:id="30" w:name="_Toc4354_WPSOffice_Level3"/>
      <w:r>
        <w:rPr>
          <w:rFonts w:hint="eastAsia" w:ascii="微软雅黑" w:hAnsi="微软雅黑" w:eastAsia="微软雅黑" w:cs="微软雅黑"/>
          <w:color w:val="000000"/>
          <w:sz w:val="22"/>
          <w:szCs w:val="22"/>
          <w:lang w:val="en-US" w:eastAsia="zh-CN"/>
        </w:rPr>
        <w:t>3.4.</w:t>
      </w:r>
      <w:r>
        <w:rPr>
          <w:rFonts w:hint="default" w:ascii="微软雅黑" w:hAnsi="微软雅黑" w:eastAsia="微软雅黑" w:cs="微软雅黑"/>
          <w:color w:val="000000"/>
          <w:sz w:val="22"/>
          <w:szCs w:val="22"/>
          <w:lang w:val="en-US" w:eastAsia="zh-CN"/>
        </w:rPr>
        <w:t>2</w:t>
      </w:r>
      <w:r>
        <w:rPr>
          <w:rFonts w:hint="eastAsia" w:ascii="微软雅黑" w:hAnsi="微软雅黑" w:eastAsia="微软雅黑" w:cs="微软雅黑"/>
          <w:color w:val="000000"/>
          <w:sz w:val="22"/>
          <w:szCs w:val="22"/>
          <w:lang w:val="en-US" w:eastAsia="zh-CN"/>
        </w:rPr>
        <w:t xml:space="preserve"> </w:t>
      </w:r>
      <w:r>
        <w:rPr>
          <w:rFonts w:hint="default" w:ascii="微软雅黑" w:hAnsi="微软雅黑" w:eastAsia="微软雅黑" w:cs="微软雅黑"/>
          <w:color w:val="000000"/>
          <w:sz w:val="22"/>
          <w:szCs w:val="22"/>
          <w:lang w:val="en-US" w:eastAsia="zh-CN"/>
        </w:rPr>
        <w:t>主要</w:t>
      </w:r>
      <w:bookmarkEnd w:id="29"/>
      <w:r>
        <w:rPr>
          <w:rFonts w:hint="default" w:ascii="微软雅黑" w:hAnsi="微软雅黑" w:eastAsia="微软雅黑" w:cs="微软雅黑"/>
          <w:color w:val="000000"/>
          <w:sz w:val="22"/>
          <w:szCs w:val="22"/>
          <w:lang w:val="en-US" w:eastAsia="zh-CN"/>
        </w:rPr>
        <w:t>生产设施设备</w:t>
      </w:r>
      <w:bookmarkEnd w:id="30"/>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公司主要包括空分装置、气化装置、净化装置及公用工程，</w:t>
      </w:r>
      <w:r>
        <w:rPr>
          <w:rFonts w:hint="default" w:ascii="微软雅黑" w:hAnsi="微软雅黑" w:eastAsia="微软雅黑" w:cs="微软雅黑"/>
          <w:color w:val="000000"/>
          <w:sz w:val="22"/>
          <w:szCs w:val="22"/>
          <w:lang w:val="en-US" w:eastAsia="zh-CN"/>
        </w:rPr>
        <w:t>主要设备清单见</w:t>
      </w:r>
      <w:r>
        <w:rPr>
          <w:rFonts w:hint="eastAsia" w:ascii="微软雅黑" w:hAnsi="微软雅黑" w:eastAsia="微软雅黑" w:cs="微软雅黑"/>
          <w:color w:val="000000"/>
          <w:sz w:val="22"/>
          <w:szCs w:val="22"/>
          <w:lang w:val="en-US" w:eastAsia="zh-CN"/>
        </w:rPr>
        <w:t>下</w:t>
      </w:r>
      <w:r>
        <w:rPr>
          <w:rFonts w:hint="default" w:ascii="微软雅黑" w:hAnsi="微软雅黑" w:eastAsia="微软雅黑" w:cs="微软雅黑"/>
          <w:color w:val="000000"/>
          <w:sz w:val="22"/>
          <w:szCs w:val="22"/>
          <w:lang w:val="en-US" w:eastAsia="zh-CN"/>
        </w:rPr>
        <w:t>表。</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center"/>
        <w:textAlignment w:val="auto"/>
        <w:rPr>
          <w:rFonts w:hint="default" w:ascii="Times New Roman" w:hAnsi="Times New Roman" w:cs="Times New Roman"/>
          <w:color w:val="000000"/>
          <w:u w:val="none"/>
        </w:rPr>
      </w:pPr>
    </w:p>
    <w:p>
      <w:pPr>
        <w:pStyle w:val="2"/>
        <w:rPr>
          <w:rFonts w:hint="default"/>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center"/>
        <w:textAlignment w:val="auto"/>
        <w:rPr>
          <w:rFonts w:hint="default" w:ascii="Times New Roman" w:hAnsi="Times New Roman" w:cs="Times New Roman"/>
          <w:color w:val="auto"/>
          <w:sz w:val="28"/>
          <w:lang w:val="en-US" w:eastAsia="zh-CN"/>
        </w:rPr>
      </w:pPr>
      <w:r>
        <w:rPr>
          <w:rFonts w:hint="default" w:ascii="Times New Roman" w:hAnsi="Times New Roman" w:cs="Times New Roman"/>
          <w:color w:val="000000"/>
          <w:u w:val="none"/>
        </w:rPr>
        <w:t>表</w:t>
      </w:r>
      <w:r>
        <w:rPr>
          <w:rFonts w:hint="eastAsia" w:ascii="Times New Roman" w:hAnsi="Times New Roman" w:cs="Times New Roman"/>
          <w:color w:val="000000"/>
          <w:u w:val="none"/>
          <w:lang w:val="en-US" w:eastAsia="zh-CN"/>
        </w:rPr>
        <w:t xml:space="preserve">3 </w:t>
      </w:r>
      <w:r>
        <w:rPr>
          <w:rFonts w:hint="default" w:ascii="Times New Roman" w:hAnsi="Times New Roman" w:cs="Times New Roman"/>
          <w:color w:val="000000"/>
          <w:u w:val="none"/>
        </w:rPr>
        <w:t xml:space="preserve"> </w:t>
      </w:r>
      <w:r>
        <w:rPr>
          <w:rFonts w:hint="default" w:ascii="Times New Roman" w:hAnsi="Times New Roman" w:cs="Times New Roman"/>
          <w:color w:val="000000"/>
          <w:u w:val="none"/>
          <w:lang w:val="en-US" w:eastAsia="zh-CN"/>
        </w:rPr>
        <w:t>主要设备清单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1"/>
        <w:gridCol w:w="2520"/>
        <w:gridCol w:w="2340"/>
        <w:gridCol w:w="720"/>
        <w:gridCol w:w="1800"/>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541"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序号</w:t>
            </w:r>
          </w:p>
        </w:tc>
        <w:tc>
          <w:tcPr>
            <w:tcW w:w="2520" w:type="dxa"/>
            <w:noWrap w:val="0"/>
            <w:vAlign w:val="center"/>
          </w:tcPr>
          <w:p>
            <w:pPr>
              <w:spacing w:line="280" w:lineRule="exact"/>
              <w:jc w:val="center"/>
              <w:rPr>
                <w:rFonts w:hint="eastAsia" w:ascii="宋体" w:hAnsi="宋体"/>
                <w:kern w:val="0"/>
                <w:szCs w:val="21"/>
              </w:rPr>
            </w:pPr>
            <w:r>
              <w:rPr>
                <w:rFonts w:hint="eastAsia" w:ascii="宋体" w:hAnsi="宋体"/>
                <w:kern w:val="0"/>
                <w:szCs w:val="21"/>
              </w:rPr>
              <w:t>设备名称</w:t>
            </w:r>
          </w:p>
        </w:tc>
        <w:tc>
          <w:tcPr>
            <w:tcW w:w="2340" w:type="dxa"/>
            <w:noWrap w:val="0"/>
            <w:vAlign w:val="center"/>
          </w:tcPr>
          <w:p>
            <w:pPr>
              <w:spacing w:line="280" w:lineRule="exact"/>
              <w:jc w:val="center"/>
              <w:rPr>
                <w:rFonts w:hint="eastAsia" w:ascii="宋体" w:hAnsi="宋体"/>
                <w:kern w:val="0"/>
                <w:szCs w:val="21"/>
              </w:rPr>
            </w:pPr>
            <w:r>
              <w:rPr>
                <w:rFonts w:hint="eastAsia" w:ascii="宋体" w:hAnsi="宋体"/>
                <w:kern w:val="0"/>
                <w:szCs w:val="21"/>
              </w:rPr>
              <w:t>规格型号</w:t>
            </w:r>
          </w:p>
        </w:tc>
        <w:tc>
          <w:tcPr>
            <w:tcW w:w="72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数量</w:t>
            </w:r>
          </w:p>
          <w:p>
            <w:pPr>
              <w:widowControl/>
              <w:spacing w:line="280" w:lineRule="exact"/>
              <w:jc w:val="center"/>
              <w:rPr>
                <w:rFonts w:hint="eastAsia" w:ascii="宋体" w:hAnsi="宋体"/>
                <w:kern w:val="0"/>
                <w:szCs w:val="21"/>
              </w:rPr>
            </w:pPr>
            <w:r>
              <w:rPr>
                <w:rFonts w:hint="eastAsia" w:ascii="宋体" w:hAnsi="宋体"/>
                <w:bCs/>
                <w:szCs w:val="21"/>
              </w:rPr>
              <w:t>（台）</w:t>
            </w:r>
          </w:p>
        </w:tc>
        <w:tc>
          <w:tcPr>
            <w:tcW w:w="180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主要材质</w:t>
            </w:r>
          </w:p>
        </w:tc>
        <w:tc>
          <w:tcPr>
            <w:tcW w:w="1264"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ascii="宋体" w:hAnsi="宋体"/>
                <w:szCs w:val="21"/>
              </w:rPr>
            </w:pPr>
            <w:r>
              <w:rPr>
                <w:rFonts w:ascii="宋体" w:hAnsi="宋体"/>
                <w:szCs w:val="21"/>
              </w:rPr>
              <w:t>一</w:t>
            </w:r>
          </w:p>
        </w:tc>
        <w:tc>
          <w:tcPr>
            <w:tcW w:w="2520" w:type="dxa"/>
            <w:noWrap w:val="0"/>
            <w:vAlign w:val="center"/>
          </w:tcPr>
          <w:p>
            <w:pPr>
              <w:spacing w:line="280" w:lineRule="exact"/>
              <w:jc w:val="center"/>
              <w:rPr>
                <w:rFonts w:hint="eastAsia" w:ascii="宋体" w:hAnsi="宋体"/>
                <w:szCs w:val="21"/>
              </w:rPr>
            </w:pPr>
            <w:r>
              <w:rPr>
                <w:rFonts w:hint="eastAsia" w:ascii="宋体" w:hAnsi="宋体"/>
                <w:szCs w:val="21"/>
              </w:rPr>
              <w:t>空分工段</w:t>
            </w:r>
          </w:p>
        </w:tc>
        <w:tc>
          <w:tcPr>
            <w:tcW w:w="2340" w:type="dxa"/>
            <w:noWrap w:val="0"/>
            <w:vAlign w:val="center"/>
          </w:tcPr>
          <w:p>
            <w:pPr>
              <w:spacing w:line="280" w:lineRule="exact"/>
              <w:jc w:val="center"/>
              <w:rPr>
                <w:rFonts w:ascii="宋体" w:hAnsi="宋体"/>
                <w:szCs w:val="21"/>
              </w:rPr>
            </w:pPr>
          </w:p>
        </w:tc>
        <w:tc>
          <w:tcPr>
            <w:tcW w:w="720" w:type="dxa"/>
            <w:noWrap w:val="0"/>
            <w:vAlign w:val="center"/>
          </w:tcPr>
          <w:p>
            <w:pPr>
              <w:spacing w:line="280" w:lineRule="exact"/>
              <w:jc w:val="center"/>
              <w:rPr>
                <w:rFonts w:ascii="宋体" w:hAnsi="宋体"/>
                <w:szCs w:val="21"/>
              </w:rPr>
            </w:pPr>
          </w:p>
        </w:tc>
        <w:tc>
          <w:tcPr>
            <w:tcW w:w="1800" w:type="dxa"/>
            <w:noWrap w:val="0"/>
            <w:vAlign w:val="center"/>
          </w:tcPr>
          <w:p>
            <w:pPr>
              <w:spacing w:line="280" w:lineRule="exact"/>
              <w:jc w:val="center"/>
              <w:rPr>
                <w:rFonts w:ascii="宋体" w:hAnsi="宋体"/>
                <w:szCs w:val="21"/>
              </w:rPr>
            </w:pPr>
          </w:p>
        </w:tc>
        <w:tc>
          <w:tcPr>
            <w:tcW w:w="1264" w:type="dxa"/>
            <w:noWrap w:val="0"/>
            <w:vAlign w:val="center"/>
          </w:tcPr>
          <w:p>
            <w:pPr>
              <w:spacing w:line="2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pStyle w:val="11"/>
              <w:spacing w:line="280" w:lineRule="exact"/>
              <w:jc w:val="center"/>
              <w:rPr>
                <w:rFonts w:hAnsi="宋体"/>
              </w:rPr>
            </w:pPr>
            <w:r>
              <w:rPr>
                <w:rFonts w:hAnsi="宋体"/>
              </w:rPr>
              <w:t>1</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自洁式过滤器</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6620×9100×12200</w:t>
            </w:r>
          </w:p>
        </w:tc>
        <w:tc>
          <w:tcPr>
            <w:tcW w:w="7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组合件</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ascii="宋体" w:hAnsi="宋体"/>
                <w:szCs w:val="21"/>
              </w:rPr>
            </w:pPr>
            <w:r>
              <w:rPr>
                <w:rFonts w:ascii="宋体" w:hAnsi="宋体"/>
                <w:szCs w:val="21"/>
              </w:rPr>
              <w:t>2</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空气压缩机</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color w:val="000000"/>
                <w:kern w:val="0"/>
                <w:szCs w:val="21"/>
              </w:rPr>
              <w:t>190000Nm</w:t>
            </w:r>
            <w:r>
              <w:rPr>
                <w:rFonts w:hint="eastAsia" w:ascii="宋体" w:hAnsi="宋体" w:cs="宋体"/>
                <w:color w:val="000000"/>
                <w:kern w:val="0"/>
                <w:szCs w:val="21"/>
                <w:vertAlign w:val="superscript"/>
              </w:rPr>
              <w:t>3</w:t>
            </w:r>
            <w:r>
              <w:rPr>
                <w:rFonts w:hint="eastAsia" w:ascii="宋体" w:hAnsi="宋体" w:cs="宋体"/>
                <w:color w:val="000000"/>
                <w:kern w:val="0"/>
                <w:szCs w:val="21"/>
              </w:rPr>
              <w:t>/h</w:t>
            </w:r>
            <w:r>
              <w:rPr>
                <w:rFonts w:hint="eastAsia" w:ascii="宋体" w:hAnsi="宋体" w:cs="宋体"/>
                <w:kern w:val="0"/>
                <w:szCs w:val="21"/>
              </w:rPr>
              <w:t xml:space="preserve"> </w:t>
            </w:r>
          </w:p>
        </w:tc>
        <w:tc>
          <w:tcPr>
            <w:tcW w:w="7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组合件</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ascii="宋体" w:hAnsi="宋体"/>
                <w:szCs w:val="21"/>
              </w:rPr>
            </w:pPr>
            <w:r>
              <w:rPr>
                <w:rFonts w:ascii="宋体" w:hAnsi="宋体"/>
                <w:szCs w:val="21"/>
              </w:rPr>
              <w:t>3</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空气增压机</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color w:val="000000"/>
                <w:kern w:val="0"/>
                <w:szCs w:val="21"/>
              </w:rPr>
              <w:t>103000Nm</w:t>
            </w:r>
            <w:r>
              <w:rPr>
                <w:rFonts w:hint="eastAsia" w:ascii="宋体" w:hAnsi="宋体" w:cs="宋体"/>
                <w:color w:val="000000"/>
                <w:kern w:val="0"/>
                <w:szCs w:val="21"/>
                <w:vertAlign w:val="superscript"/>
              </w:rPr>
              <w:t>3</w:t>
            </w:r>
            <w:r>
              <w:rPr>
                <w:rFonts w:hint="eastAsia" w:ascii="宋体" w:hAnsi="宋体" w:cs="宋体"/>
                <w:color w:val="000000"/>
                <w:kern w:val="0"/>
                <w:szCs w:val="21"/>
              </w:rPr>
              <w:t>/h</w:t>
            </w:r>
            <w:r>
              <w:rPr>
                <w:rFonts w:hint="eastAsia" w:ascii="宋体" w:hAnsi="宋体" w:cs="宋体"/>
                <w:kern w:val="0"/>
                <w:szCs w:val="21"/>
              </w:rPr>
              <w:t xml:space="preserve"> </w:t>
            </w:r>
          </w:p>
        </w:tc>
        <w:tc>
          <w:tcPr>
            <w:tcW w:w="7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组合件</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ascii="宋体" w:hAnsi="宋体"/>
                <w:szCs w:val="21"/>
              </w:rPr>
            </w:pPr>
            <w:r>
              <w:rPr>
                <w:rFonts w:ascii="宋体" w:hAnsi="宋体"/>
                <w:szCs w:val="21"/>
              </w:rPr>
              <w:t>4</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空冷塔</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φ4650×27770</w:t>
            </w:r>
          </w:p>
        </w:tc>
        <w:tc>
          <w:tcPr>
            <w:tcW w:w="7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Q345R</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ascii="宋体" w:hAnsi="宋体"/>
                <w:szCs w:val="21"/>
              </w:rPr>
            </w:pPr>
            <w:r>
              <w:rPr>
                <w:rFonts w:ascii="宋体" w:hAnsi="宋体"/>
                <w:szCs w:val="21"/>
              </w:rPr>
              <w:t>5</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水冷塔</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φ4300×25000</w:t>
            </w:r>
          </w:p>
        </w:tc>
        <w:tc>
          <w:tcPr>
            <w:tcW w:w="7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Q345R</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ascii="宋体" w:hAnsi="宋体"/>
                <w:szCs w:val="21"/>
              </w:rPr>
            </w:pPr>
            <w:r>
              <w:rPr>
                <w:rFonts w:ascii="宋体" w:hAnsi="宋体"/>
                <w:szCs w:val="21"/>
              </w:rPr>
              <w:t>6</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分子筛吸附器</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φ4536×25474</w:t>
            </w:r>
          </w:p>
        </w:tc>
        <w:tc>
          <w:tcPr>
            <w:tcW w:w="7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2</w:t>
            </w:r>
          </w:p>
        </w:tc>
        <w:tc>
          <w:tcPr>
            <w:tcW w:w="180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Q345R</w:t>
            </w:r>
          </w:p>
        </w:tc>
        <w:tc>
          <w:tcPr>
            <w:tcW w:w="1264"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ascii="宋体" w:hAnsi="宋体"/>
                <w:szCs w:val="21"/>
              </w:rPr>
            </w:pPr>
            <w:r>
              <w:rPr>
                <w:rFonts w:ascii="宋体" w:hAnsi="宋体"/>
                <w:szCs w:val="21"/>
              </w:rPr>
              <w:t>7</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蒸汽加热器</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φ2200×8900</w:t>
            </w:r>
          </w:p>
        </w:tc>
        <w:tc>
          <w:tcPr>
            <w:tcW w:w="7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Q345R</w:t>
            </w:r>
          </w:p>
        </w:tc>
        <w:tc>
          <w:tcPr>
            <w:tcW w:w="1264"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ascii="宋体" w:hAnsi="宋体"/>
                <w:szCs w:val="21"/>
              </w:rPr>
            </w:pPr>
            <w:r>
              <w:rPr>
                <w:rFonts w:ascii="宋体" w:hAnsi="宋体"/>
                <w:szCs w:val="21"/>
              </w:rPr>
              <w:t>8</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污氮放空消音器</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φ1966×3440</w:t>
            </w:r>
          </w:p>
        </w:tc>
        <w:tc>
          <w:tcPr>
            <w:tcW w:w="7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2</w:t>
            </w:r>
          </w:p>
        </w:tc>
        <w:tc>
          <w:tcPr>
            <w:tcW w:w="180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组合件</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9</w:t>
            </w:r>
          </w:p>
        </w:tc>
        <w:tc>
          <w:tcPr>
            <w:tcW w:w="2520" w:type="dxa"/>
            <w:noWrap w:val="0"/>
            <w:vAlign w:val="center"/>
          </w:tcPr>
          <w:p>
            <w:pPr>
              <w:spacing w:line="280" w:lineRule="exact"/>
              <w:jc w:val="center"/>
              <w:rPr>
                <w:rFonts w:hint="eastAsia" w:ascii="宋体" w:hAnsi="宋体"/>
                <w:szCs w:val="21"/>
              </w:rPr>
            </w:pPr>
            <w:r>
              <w:rPr>
                <w:rFonts w:hint="eastAsia" w:ascii="宋体" w:hAnsi="宋体"/>
                <w:szCs w:val="21"/>
              </w:rPr>
              <w:t>低压主换热器</w:t>
            </w:r>
          </w:p>
        </w:tc>
        <w:tc>
          <w:tcPr>
            <w:tcW w:w="2340" w:type="dxa"/>
            <w:noWrap w:val="0"/>
            <w:vAlign w:val="center"/>
          </w:tcPr>
          <w:p>
            <w:pPr>
              <w:spacing w:line="280" w:lineRule="exact"/>
              <w:jc w:val="center"/>
              <w:rPr>
                <w:rFonts w:ascii="宋体" w:hAnsi="宋体"/>
                <w:szCs w:val="21"/>
              </w:rPr>
            </w:pPr>
            <w:r>
              <w:rPr>
                <w:rFonts w:hint="eastAsia" w:ascii="宋体" w:hAnsi="宋体" w:cs="宋体"/>
                <w:kern w:val="0"/>
                <w:szCs w:val="21"/>
              </w:rPr>
              <w:t>5400×1200×1280</w:t>
            </w:r>
          </w:p>
        </w:tc>
        <w:tc>
          <w:tcPr>
            <w:tcW w:w="720" w:type="dxa"/>
            <w:noWrap w:val="0"/>
            <w:vAlign w:val="center"/>
          </w:tcPr>
          <w:p>
            <w:pPr>
              <w:spacing w:line="280" w:lineRule="exact"/>
              <w:jc w:val="center"/>
              <w:rPr>
                <w:rFonts w:hint="eastAsia" w:ascii="宋体" w:hAnsi="宋体"/>
                <w:szCs w:val="21"/>
              </w:rPr>
            </w:pPr>
            <w:r>
              <w:rPr>
                <w:rFonts w:hint="eastAsia" w:ascii="宋体" w:hAnsi="宋体"/>
                <w:szCs w:val="21"/>
              </w:rPr>
              <w:t>6</w:t>
            </w:r>
          </w:p>
        </w:tc>
        <w:tc>
          <w:tcPr>
            <w:tcW w:w="1800" w:type="dxa"/>
            <w:noWrap w:val="0"/>
            <w:vAlign w:val="center"/>
          </w:tcPr>
          <w:p>
            <w:pPr>
              <w:spacing w:line="280" w:lineRule="exact"/>
              <w:jc w:val="center"/>
              <w:rPr>
                <w:rFonts w:hint="eastAsia" w:ascii="宋体" w:hAnsi="宋体"/>
                <w:szCs w:val="21"/>
              </w:rPr>
            </w:pPr>
            <w:r>
              <w:rPr>
                <w:rFonts w:hint="eastAsia" w:ascii="宋体" w:hAnsi="宋体"/>
                <w:szCs w:val="21"/>
              </w:rPr>
              <w:t>3003,5083,5052</w:t>
            </w:r>
          </w:p>
        </w:tc>
        <w:tc>
          <w:tcPr>
            <w:tcW w:w="1264" w:type="dxa"/>
            <w:noWrap w:val="0"/>
            <w:vAlign w:val="center"/>
          </w:tcPr>
          <w:p>
            <w:pPr>
              <w:spacing w:line="280" w:lineRule="exact"/>
              <w:jc w:val="center"/>
              <w:rPr>
                <w:rFonts w:hint="eastAsia" w:ascii="宋体" w:hAnsi="宋体"/>
                <w:szCs w:val="21"/>
              </w:rPr>
            </w:pPr>
            <w:r>
              <w:rPr>
                <w:rFonts w:hint="eastAsia" w:ascii="宋体" w:hAnsi="宋体"/>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pStyle w:val="11"/>
              <w:spacing w:line="280" w:lineRule="exact"/>
              <w:jc w:val="center"/>
              <w:rPr>
                <w:rFonts w:hint="eastAsia" w:hAnsi="宋体"/>
              </w:rPr>
            </w:pPr>
            <w:r>
              <w:rPr>
                <w:rFonts w:hAnsi="宋体"/>
              </w:rPr>
              <w:t>1</w:t>
            </w:r>
            <w:r>
              <w:rPr>
                <w:rFonts w:hint="eastAsia" w:hAnsi="宋体"/>
              </w:rPr>
              <w:t>0</w:t>
            </w:r>
          </w:p>
        </w:tc>
        <w:tc>
          <w:tcPr>
            <w:tcW w:w="2520" w:type="dxa"/>
            <w:noWrap w:val="0"/>
            <w:vAlign w:val="center"/>
          </w:tcPr>
          <w:p>
            <w:pPr>
              <w:spacing w:line="280" w:lineRule="exact"/>
              <w:jc w:val="center"/>
              <w:rPr>
                <w:rFonts w:hint="eastAsia" w:ascii="宋体" w:hAnsi="宋体"/>
                <w:szCs w:val="21"/>
              </w:rPr>
            </w:pPr>
            <w:r>
              <w:rPr>
                <w:rFonts w:hint="eastAsia" w:ascii="宋体" w:hAnsi="宋体"/>
                <w:szCs w:val="21"/>
              </w:rPr>
              <w:t>高压主换热器</w:t>
            </w:r>
          </w:p>
        </w:tc>
        <w:tc>
          <w:tcPr>
            <w:tcW w:w="2340" w:type="dxa"/>
            <w:noWrap w:val="0"/>
            <w:vAlign w:val="center"/>
          </w:tcPr>
          <w:p>
            <w:pPr>
              <w:spacing w:line="280" w:lineRule="exact"/>
              <w:jc w:val="center"/>
              <w:rPr>
                <w:rFonts w:ascii="宋体" w:hAnsi="宋体"/>
                <w:szCs w:val="21"/>
              </w:rPr>
            </w:pPr>
            <w:r>
              <w:rPr>
                <w:rFonts w:hint="eastAsia" w:ascii="宋体" w:hAnsi="宋体" w:cs="宋体"/>
                <w:kern w:val="0"/>
                <w:szCs w:val="21"/>
              </w:rPr>
              <w:t>5300×1220×1600</w:t>
            </w:r>
          </w:p>
        </w:tc>
        <w:tc>
          <w:tcPr>
            <w:tcW w:w="720" w:type="dxa"/>
            <w:noWrap w:val="0"/>
            <w:vAlign w:val="center"/>
          </w:tcPr>
          <w:p>
            <w:pPr>
              <w:spacing w:line="280" w:lineRule="exact"/>
              <w:jc w:val="center"/>
              <w:rPr>
                <w:rFonts w:ascii="宋体" w:hAnsi="宋体"/>
                <w:szCs w:val="21"/>
              </w:rPr>
            </w:pPr>
            <w:r>
              <w:rPr>
                <w:rFonts w:ascii="宋体" w:hAnsi="宋体"/>
                <w:szCs w:val="21"/>
              </w:rPr>
              <w:t>2</w:t>
            </w:r>
          </w:p>
        </w:tc>
        <w:tc>
          <w:tcPr>
            <w:tcW w:w="1800" w:type="dxa"/>
            <w:noWrap w:val="0"/>
            <w:vAlign w:val="center"/>
          </w:tcPr>
          <w:p>
            <w:pPr>
              <w:spacing w:line="280" w:lineRule="exact"/>
              <w:jc w:val="center"/>
              <w:rPr>
                <w:rFonts w:hint="eastAsia" w:ascii="宋体" w:hAnsi="宋体"/>
                <w:szCs w:val="21"/>
              </w:rPr>
            </w:pPr>
            <w:r>
              <w:rPr>
                <w:rFonts w:hint="eastAsia" w:ascii="宋体" w:hAnsi="宋体"/>
                <w:szCs w:val="21"/>
              </w:rPr>
              <w:t>3003,5083,5052</w:t>
            </w:r>
          </w:p>
        </w:tc>
        <w:tc>
          <w:tcPr>
            <w:tcW w:w="1264" w:type="dxa"/>
            <w:noWrap w:val="0"/>
            <w:vAlign w:val="center"/>
          </w:tcPr>
          <w:p>
            <w:pPr>
              <w:spacing w:line="280" w:lineRule="exact"/>
              <w:jc w:val="center"/>
              <w:rPr>
                <w:rFonts w:hint="eastAsia" w:ascii="宋体" w:hAnsi="宋体"/>
                <w:szCs w:val="21"/>
              </w:rPr>
            </w:pPr>
            <w:r>
              <w:rPr>
                <w:rFonts w:hint="eastAsia" w:ascii="宋体" w:hAnsi="宋体"/>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11</w:t>
            </w:r>
          </w:p>
        </w:tc>
        <w:tc>
          <w:tcPr>
            <w:tcW w:w="2520" w:type="dxa"/>
            <w:noWrap w:val="0"/>
            <w:vAlign w:val="center"/>
          </w:tcPr>
          <w:p>
            <w:pPr>
              <w:spacing w:line="280" w:lineRule="exact"/>
              <w:jc w:val="center"/>
              <w:rPr>
                <w:rFonts w:hint="eastAsia" w:ascii="宋体" w:hAnsi="宋体"/>
                <w:szCs w:val="21"/>
              </w:rPr>
            </w:pPr>
            <w:r>
              <w:rPr>
                <w:rFonts w:hint="eastAsia" w:ascii="宋体" w:hAnsi="宋体"/>
                <w:szCs w:val="21"/>
              </w:rPr>
              <w:t>上塔</w:t>
            </w:r>
          </w:p>
        </w:tc>
        <w:tc>
          <w:tcPr>
            <w:tcW w:w="2340" w:type="dxa"/>
            <w:noWrap w:val="0"/>
            <w:vAlign w:val="center"/>
          </w:tcPr>
          <w:p>
            <w:pPr>
              <w:spacing w:line="280" w:lineRule="exact"/>
              <w:jc w:val="center"/>
              <w:rPr>
                <w:rFonts w:ascii="宋体" w:hAnsi="宋体"/>
                <w:szCs w:val="21"/>
              </w:rPr>
            </w:pPr>
            <w:r>
              <w:rPr>
                <w:rFonts w:hint="eastAsia" w:ascii="宋体" w:hAnsi="宋体" w:cs="宋体"/>
                <w:kern w:val="0"/>
                <w:szCs w:val="21"/>
              </w:rPr>
              <w:t>φ4300×41000</w:t>
            </w:r>
          </w:p>
        </w:tc>
        <w:tc>
          <w:tcPr>
            <w:tcW w:w="720" w:type="dxa"/>
            <w:noWrap w:val="0"/>
            <w:vAlign w:val="center"/>
          </w:tcPr>
          <w:p>
            <w:pPr>
              <w:spacing w:line="280" w:lineRule="exact"/>
              <w:jc w:val="center"/>
              <w:rPr>
                <w:rFonts w:hint="eastAsia" w:ascii="宋体" w:hAnsi="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szCs w:val="21"/>
              </w:rPr>
            </w:pPr>
            <w:r>
              <w:rPr>
                <w:rFonts w:hint="eastAsia" w:ascii="宋体" w:hAnsi="宋体"/>
                <w:szCs w:val="21"/>
              </w:rPr>
              <w:t>3003,5083</w:t>
            </w:r>
          </w:p>
        </w:tc>
        <w:tc>
          <w:tcPr>
            <w:tcW w:w="1264" w:type="dxa"/>
            <w:noWrap w:val="0"/>
            <w:vAlign w:val="center"/>
          </w:tcPr>
          <w:p>
            <w:pPr>
              <w:spacing w:line="2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pStyle w:val="11"/>
              <w:spacing w:line="280" w:lineRule="exact"/>
              <w:jc w:val="center"/>
              <w:rPr>
                <w:rFonts w:hint="eastAsia" w:hAnsi="宋体"/>
              </w:rPr>
            </w:pPr>
            <w:r>
              <w:rPr>
                <w:rFonts w:hint="eastAsia" w:hAnsi="宋体"/>
              </w:rPr>
              <w:t>12</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下塔</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φ4300×41000</w:t>
            </w:r>
          </w:p>
        </w:tc>
        <w:tc>
          <w:tcPr>
            <w:tcW w:w="72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r>
              <w:rPr>
                <w:rFonts w:ascii="宋体" w:hAnsi="宋体"/>
                <w:kern w:val="0"/>
                <w:szCs w:val="21"/>
              </w:rPr>
              <w:t xml:space="preserve"> </w:t>
            </w:r>
          </w:p>
        </w:tc>
        <w:tc>
          <w:tcPr>
            <w:tcW w:w="180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5083</w:t>
            </w:r>
          </w:p>
        </w:tc>
        <w:tc>
          <w:tcPr>
            <w:tcW w:w="1264" w:type="dxa"/>
            <w:noWrap w:val="0"/>
            <w:vAlign w:val="center"/>
          </w:tcPr>
          <w:p>
            <w:pPr>
              <w:widowControl/>
              <w:spacing w:line="280" w:lineRule="exact"/>
              <w:jc w:val="center"/>
              <w:rPr>
                <w:rFonts w:ascii="宋体" w:hAnsi="宋体" w:cs="宋体"/>
                <w:b/>
                <w:bCs/>
                <w:kern w:val="0"/>
                <w:szCs w:val="21"/>
              </w:rPr>
            </w:pPr>
            <w:r>
              <w:rPr>
                <w:rFonts w:hint="eastAsia" w:ascii="宋体" w:hAnsi="宋体"/>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13</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主冷凝蒸发器</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φ4100×11400</w:t>
            </w:r>
          </w:p>
        </w:tc>
        <w:tc>
          <w:tcPr>
            <w:tcW w:w="72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szCs w:val="21"/>
              </w:rPr>
              <w:t>3003,5083,5052</w:t>
            </w:r>
          </w:p>
        </w:tc>
        <w:tc>
          <w:tcPr>
            <w:tcW w:w="1264" w:type="dxa"/>
            <w:noWrap w:val="0"/>
            <w:vAlign w:val="center"/>
          </w:tcPr>
          <w:p>
            <w:pPr>
              <w:widowControl/>
              <w:spacing w:line="280" w:lineRule="exact"/>
              <w:jc w:val="center"/>
              <w:rPr>
                <w:rFonts w:ascii="宋体" w:hAnsi="宋体" w:cs="宋体"/>
                <w:kern w:val="0"/>
                <w:szCs w:val="21"/>
              </w:rPr>
            </w:pPr>
            <w:r>
              <w:rPr>
                <w:rFonts w:hint="eastAsia" w:ascii="宋体" w:hAnsi="宋体"/>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14</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粗氩塔1</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φ3600×22000</w:t>
            </w:r>
          </w:p>
        </w:tc>
        <w:tc>
          <w:tcPr>
            <w:tcW w:w="72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r>
              <w:rPr>
                <w:rFonts w:ascii="宋体" w:hAnsi="宋体"/>
                <w:kern w:val="0"/>
                <w:szCs w:val="21"/>
              </w:rPr>
              <w:t xml:space="preserve"> </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szCs w:val="21"/>
              </w:rPr>
              <w:t>3003,5083</w:t>
            </w:r>
          </w:p>
        </w:tc>
        <w:tc>
          <w:tcPr>
            <w:tcW w:w="1264" w:type="dxa"/>
            <w:noWrap w:val="0"/>
            <w:vAlign w:val="center"/>
          </w:tcPr>
          <w:p>
            <w:pPr>
              <w:widowControl/>
              <w:spacing w:line="280" w:lineRule="exact"/>
              <w:jc w:val="center"/>
              <w:rPr>
                <w:rFonts w:ascii="宋体" w:hAnsi="宋体" w:cs="宋体"/>
                <w:kern w:val="0"/>
                <w:szCs w:val="21"/>
              </w:rPr>
            </w:pPr>
            <w:r>
              <w:rPr>
                <w:rFonts w:hint="eastAsia" w:ascii="宋体" w:hAnsi="宋体"/>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15</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szCs w:val="21"/>
              </w:rPr>
              <w:t>粗氩塔Ⅱ</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φ3600×41000</w:t>
            </w:r>
          </w:p>
        </w:tc>
        <w:tc>
          <w:tcPr>
            <w:tcW w:w="72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r>
              <w:rPr>
                <w:rFonts w:ascii="宋体" w:hAnsi="宋体"/>
                <w:kern w:val="0"/>
                <w:szCs w:val="21"/>
              </w:rPr>
              <w:t xml:space="preserve"> </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szCs w:val="21"/>
              </w:rPr>
              <w:t>3003,5083</w:t>
            </w:r>
          </w:p>
        </w:tc>
        <w:tc>
          <w:tcPr>
            <w:tcW w:w="1264" w:type="dxa"/>
            <w:noWrap w:val="0"/>
            <w:vAlign w:val="center"/>
          </w:tcPr>
          <w:p>
            <w:pPr>
              <w:widowControl/>
              <w:spacing w:line="280" w:lineRule="exact"/>
              <w:jc w:val="center"/>
              <w:rPr>
                <w:rFonts w:ascii="宋体" w:hAnsi="宋体" w:cs="宋体"/>
                <w:kern w:val="0"/>
                <w:szCs w:val="21"/>
              </w:rPr>
            </w:pPr>
            <w:r>
              <w:rPr>
                <w:rFonts w:hint="eastAsia" w:ascii="宋体" w:hAnsi="宋体"/>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16</w:t>
            </w:r>
          </w:p>
        </w:tc>
        <w:tc>
          <w:tcPr>
            <w:tcW w:w="252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粗氩液化器</w:t>
            </w:r>
          </w:p>
        </w:tc>
        <w:tc>
          <w:tcPr>
            <w:tcW w:w="2340"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E-5209</w:t>
            </w:r>
          </w:p>
        </w:tc>
        <w:tc>
          <w:tcPr>
            <w:tcW w:w="720" w:type="dxa"/>
            <w:noWrap w:val="0"/>
            <w:vAlign w:val="center"/>
          </w:tcPr>
          <w:p>
            <w:pPr>
              <w:widowControl/>
              <w:spacing w:line="280" w:lineRule="exact"/>
              <w:jc w:val="center"/>
              <w:rPr>
                <w:rFonts w:ascii="宋体" w:hAnsi="宋体"/>
                <w:kern w:val="0"/>
                <w:szCs w:val="21"/>
              </w:rPr>
            </w:pPr>
            <w:r>
              <w:rPr>
                <w:rFonts w:ascii="宋体" w:hAnsi="宋体"/>
                <w:kern w:val="0"/>
                <w:szCs w:val="21"/>
              </w:rPr>
              <w:t xml:space="preserve">1 </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szCs w:val="21"/>
              </w:rPr>
              <w:t>3003,5083,5052</w:t>
            </w:r>
          </w:p>
        </w:tc>
        <w:tc>
          <w:tcPr>
            <w:tcW w:w="1264" w:type="dxa"/>
            <w:noWrap w:val="0"/>
            <w:vAlign w:val="center"/>
          </w:tcPr>
          <w:p>
            <w:pPr>
              <w:widowControl/>
              <w:spacing w:line="280" w:lineRule="exact"/>
              <w:jc w:val="center"/>
              <w:rPr>
                <w:rFonts w:ascii="宋体" w:hAnsi="宋体" w:cs="宋体"/>
                <w:kern w:val="0"/>
                <w:szCs w:val="21"/>
              </w:rPr>
            </w:pPr>
            <w:r>
              <w:rPr>
                <w:rFonts w:hint="eastAsia" w:ascii="宋体" w:hAnsi="宋体"/>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ascii="宋体" w:hAnsi="宋体"/>
                <w:szCs w:val="21"/>
              </w:rPr>
            </w:pPr>
            <w:r>
              <w:rPr>
                <w:rFonts w:hint="eastAsia" w:ascii="宋体" w:hAnsi="宋体"/>
                <w:szCs w:val="21"/>
              </w:rPr>
              <w:t>17</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纯氩塔</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φ750×18500</w:t>
            </w:r>
          </w:p>
        </w:tc>
        <w:tc>
          <w:tcPr>
            <w:tcW w:w="72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5083</w:t>
            </w:r>
          </w:p>
        </w:tc>
        <w:tc>
          <w:tcPr>
            <w:tcW w:w="1264" w:type="dxa"/>
            <w:noWrap w:val="0"/>
            <w:vAlign w:val="center"/>
          </w:tcPr>
          <w:p>
            <w:pPr>
              <w:widowControl/>
              <w:spacing w:line="280" w:lineRule="exact"/>
              <w:jc w:val="center"/>
              <w:rPr>
                <w:rFonts w:ascii="宋体" w:hAnsi="宋体" w:cs="宋体"/>
                <w:kern w:val="0"/>
                <w:szCs w:val="21"/>
              </w:rPr>
            </w:pPr>
            <w:r>
              <w:rPr>
                <w:rFonts w:hint="eastAsia" w:ascii="宋体" w:hAnsi="宋体"/>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ascii="宋体" w:hAnsi="宋体"/>
                <w:szCs w:val="21"/>
              </w:rPr>
            </w:pPr>
            <w:r>
              <w:rPr>
                <w:rFonts w:hint="eastAsia" w:ascii="宋体" w:hAnsi="宋体"/>
                <w:szCs w:val="21"/>
              </w:rPr>
              <w:t>18</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液氧泵</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82t/h</w:t>
            </w:r>
          </w:p>
        </w:tc>
        <w:tc>
          <w:tcPr>
            <w:tcW w:w="72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2</w:t>
            </w:r>
          </w:p>
        </w:tc>
        <w:tc>
          <w:tcPr>
            <w:tcW w:w="180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组合件</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19</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循环液氩泵</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123t/h</w:t>
            </w:r>
          </w:p>
        </w:tc>
        <w:tc>
          <w:tcPr>
            <w:tcW w:w="72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2</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组合件</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20</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液氧液空过冷器</w:t>
            </w:r>
          </w:p>
        </w:tc>
        <w:tc>
          <w:tcPr>
            <w:tcW w:w="2340" w:type="dxa"/>
            <w:noWrap w:val="0"/>
            <w:vAlign w:val="center"/>
          </w:tcPr>
          <w:p>
            <w:pPr>
              <w:spacing w:line="280" w:lineRule="exact"/>
              <w:jc w:val="center"/>
              <w:rPr>
                <w:rFonts w:ascii="宋体" w:hAnsi="宋体"/>
                <w:szCs w:val="21"/>
              </w:rPr>
            </w:pPr>
            <w:r>
              <w:rPr>
                <w:rFonts w:hint="eastAsia" w:ascii="宋体" w:hAnsi="宋体" w:cs="宋体"/>
                <w:kern w:val="0"/>
                <w:szCs w:val="21"/>
              </w:rPr>
              <w:t>2100×1300×3320</w:t>
            </w:r>
          </w:p>
        </w:tc>
        <w:tc>
          <w:tcPr>
            <w:tcW w:w="72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szCs w:val="21"/>
              </w:rPr>
              <w:t>5083,5052</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21</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气体膨胀机</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color w:val="000000"/>
                <w:kern w:val="0"/>
                <w:szCs w:val="21"/>
              </w:rPr>
              <w:t>45000Nm</w:t>
            </w:r>
            <w:r>
              <w:rPr>
                <w:rFonts w:hint="eastAsia" w:ascii="宋体" w:hAnsi="宋体" w:cs="宋体"/>
                <w:color w:val="000000"/>
                <w:kern w:val="0"/>
                <w:szCs w:val="21"/>
                <w:vertAlign w:val="superscript"/>
              </w:rPr>
              <w:t>3</w:t>
            </w:r>
            <w:r>
              <w:rPr>
                <w:rFonts w:hint="eastAsia" w:ascii="宋体" w:hAnsi="宋体" w:cs="宋体"/>
                <w:color w:val="000000"/>
                <w:kern w:val="0"/>
                <w:szCs w:val="21"/>
              </w:rPr>
              <w:t>/h</w:t>
            </w:r>
            <w:r>
              <w:rPr>
                <w:rFonts w:hint="eastAsia" w:ascii="宋体" w:hAnsi="宋体" w:cs="宋体"/>
                <w:kern w:val="0"/>
                <w:szCs w:val="21"/>
              </w:rPr>
              <w:t xml:space="preserve"> </w:t>
            </w:r>
          </w:p>
        </w:tc>
        <w:tc>
          <w:tcPr>
            <w:tcW w:w="72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组合件</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22</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液体膨胀机</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color w:val="000000"/>
                <w:kern w:val="0"/>
                <w:szCs w:val="21"/>
              </w:rPr>
              <w:t>45000Nm</w:t>
            </w:r>
            <w:r>
              <w:rPr>
                <w:rFonts w:hint="eastAsia" w:ascii="宋体" w:hAnsi="宋体" w:cs="宋体"/>
                <w:color w:val="000000"/>
                <w:kern w:val="0"/>
                <w:szCs w:val="21"/>
                <w:vertAlign w:val="superscript"/>
              </w:rPr>
              <w:t>3</w:t>
            </w:r>
            <w:r>
              <w:rPr>
                <w:rFonts w:hint="eastAsia" w:ascii="宋体" w:hAnsi="宋体" w:cs="宋体"/>
                <w:color w:val="000000"/>
                <w:kern w:val="0"/>
                <w:szCs w:val="21"/>
              </w:rPr>
              <w:t>/h</w:t>
            </w:r>
            <w:r>
              <w:rPr>
                <w:rFonts w:hint="eastAsia" w:ascii="宋体" w:hAnsi="宋体" w:cs="宋体"/>
                <w:kern w:val="0"/>
                <w:szCs w:val="21"/>
              </w:rPr>
              <w:t xml:space="preserve"> </w:t>
            </w:r>
          </w:p>
        </w:tc>
        <w:tc>
          <w:tcPr>
            <w:tcW w:w="72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组合件</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23</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3000m</w:t>
            </w:r>
            <w:r>
              <w:rPr>
                <w:rFonts w:hint="eastAsia" w:ascii="宋体" w:hAnsi="宋体" w:cs="宋体"/>
                <w:kern w:val="0"/>
                <w:szCs w:val="21"/>
                <w:vertAlign w:val="superscript"/>
              </w:rPr>
              <w:t>3</w:t>
            </w:r>
            <w:r>
              <w:rPr>
                <w:rFonts w:hint="eastAsia" w:ascii="宋体" w:hAnsi="宋体" w:cs="宋体"/>
                <w:kern w:val="0"/>
                <w:szCs w:val="21"/>
              </w:rPr>
              <w:t>液氧贮槽</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φ18500×21500</w:t>
            </w:r>
          </w:p>
        </w:tc>
        <w:tc>
          <w:tcPr>
            <w:tcW w:w="72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2</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0Cr18Ni9/Q235B</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24</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3000m</w:t>
            </w:r>
            <w:r>
              <w:rPr>
                <w:rFonts w:hint="eastAsia" w:ascii="宋体" w:hAnsi="宋体" w:cs="宋体"/>
                <w:kern w:val="0"/>
                <w:szCs w:val="21"/>
                <w:vertAlign w:val="superscript"/>
              </w:rPr>
              <w:t>3</w:t>
            </w:r>
            <w:r>
              <w:rPr>
                <w:rFonts w:hint="eastAsia" w:ascii="宋体" w:hAnsi="宋体" w:cs="宋体"/>
                <w:kern w:val="0"/>
                <w:szCs w:val="21"/>
              </w:rPr>
              <w:t>液氮贮槽</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φ18500×21500</w:t>
            </w:r>
          </w:p>
        </w:tc>
        <w:tc>
          <w:tcPr>
            <w:tcW w:w="72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0Cr18Ni9/Q235B</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24</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2000m</w:t>
            </w:r>
            <w:r>
              <w:rPr>
                <w:rFonts w:hint="eastAsia" w:ascii="宋体" w:hAnsi="宋体" w:cs="宋体"/>
                <w:kern w:val="0"/>
                <w:szCs w:val="21"/>
                <w:vertAlign w:val="superscript"/>
              </w:rPr>
              <w:t>3</w:t>
            </w:r>
            <w:r>
              <w:rPr>
                <w:rFonts w:hint="eastAsia" w:ascii="宋体" w:hAnsi="宋体" w:cs="宋体"/>
                <w:kern w:val="0"/>
                <w:szCs w:val="21"/>
              </w:rPr>
              <w:t>液氩贮槽</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 xml:space="preserve">φ16000×18790 </w:t>
            </w:r>
          </w:p>
        </w:tc>
        <w:tc>
          <w:tcPr>
            <w:tcW w:w="72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0Cr18Ni9/Q235B</w:t>
            </w:r>
          </w:p>
        </w:tc>
        <w:tc>
          <w:tcPr>
            <w:tcW w:w="1264" w:type="dxa"/>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25</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100m</w:t>
            </w:r>
            <w:r>
              <w:rPr>
                <w:rFonts w:hint="eastAsia" w:ascii="宋体" w:hAnsi="宋体" w:cs="宋体"/>
                <w:kern w:val="0"/>
                <w:szCs w:val="21"/>
                <w:vertAlign w:val="superscript"/>
              </w:rPr>
              <w:t>3</w:t>
            </w:r>
            <w:r>
              <w:rPr>
                <w:rFonts w:hint="eastAsia" w:ascii="宋体" w:hAnsi="宋体" w:cs="宋体"/>
                <w:kern w:val="0"/>
                <w:szCs w:val="21"/>
              </w:rPr>
              <w:t>液氧真空贮槽</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φ3500×17324</w:t>
            </w:r>
          </w:p>
        </w:tc>
        <w:tc>
          <w:tcPr>
            <w:tcW w:w="72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2</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Q235B</w:t>
            </w:r>
          </w:p>
        </w:tc>
        <w:tc>
          <w:tcPr>
            <w:tcW w:w="1264"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26</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100m</w:t>
            </w:r>
            <w:r>
              <w:rPr>
                <w:rFonts w:hint="eastAsia" w:ascii="宋体" w:hAnsi="宋体" w:cs="宋体"/>
                <w:kern w:val="0"/>
                <w:szCs w:val="21"/>
                <w:vertAlign w:val="superscript"/>
              </w:rPr>
              <w:t>3</w:t>
            </w:r>
            <w:r>
              <w:rPr>
                <w:rFonts w:hint="eastAsia" w:ascii="宋体" w:hAnsi="宋体" w:cs="宋体"/>
                <w:kern w:val="0"/>
                <w:szCs w:val="21"/>
              </w:rPr>
              <w:t>液氮真空贮槽</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φ3500×17324</w:t>
            </w:r>
          </w:p>
        </w:tc>
        <w:tc>
          <w:tcPr>
            <w:tcW w:w="72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Q235B</w:t>
            </w:r>
          </w:p>
        </w:tc>
        <w:tc>
          <w:tcPr>
            <w:tcW w:w="1264"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27</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100m</w:t>
            </w:r>
            <w:r>
              <w:rPr>
                <w:rFonts w:hint="eastAsia" w:ascii="宋体" w:hAnsi="宋体" w:cs="宋体"/>
                <w:kern w:val="0"/>
                <w:szCs w:val="21"/>
                <w:vertAlign w:val="superscript"/>
              </w:rPr>
              <w:t>3</w:t>
            </w:r>
            <w:r>
              <w:rPr>
                <w:rFonts w:hint="eastAsia" w:ascii="宋体" w:hAnsi="宋体" w:cs="宋体"/>
                <w:kern w:val="0"/>
                <w:szCs w:val="21"/>
              </w:rPr>
              <w:t>液氩真空贮槽</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φ3500×17324</w:t>
            </w:r>
          </w:p>
        </w:tc>
        <w:tc>
          <w:tcPr>
            <w:tcW w:w="72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kern w:val="0"/>
                <w:szCs w:val="21"/>
              </w:rPr>
              <w:t>Q235B</w:t>
            </w:r>
          </w:p>
        </w:tc>
        <w:tc>
          <w:tcPr>
            <w:tcW w:w="1264" w:type="dxa"/>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28</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低压氮压机</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color w:val="000000"/>
                <w:kern w:val="0"/>
                <w:szCs w:val="21"/>
              </w:rPr>
              <w:t>45000Nm</w:t>
            </w:r>
            <w:r>
              <w:rPr>
                <w:rFonts w:hint="eastAsia" w:ascii="宋体" w:hAnsi="宋体" w:cs="宋体"/>
                <w:color w:val="000000"/>
                <w:kern w:val="0"/>
                <w:szCs w:val="21"/>
                <w:vertAlign w:val="superscript"/>
              </w:rPr>
              <w:t>3</w:t>
            </w:r>
            <w:r>
              <w:rPr>
                <w:rFonts w:hint="eastAsia" w:ascii="宋体" w:hAnsi="宋体" w:cs="宋体"/>
                <w:color w:val="000000"/>
                <w:kern w:val="0"/>
                <w:szCs w:val="21"/>
              </w:rPr>
              <w:t>/h</w:t>
            </w:r>
            <w:r>
              <w:rPr>
                <w:rFonts w:hint="eastAsia" w:ascii="宋体" w:hAnsi="宋体" w:cs="宋体"/>
                <w:kern w:val="0"/>
                <w:szCs w:val="21"/>
              </w:rPr>
              <w:t xml:space="preserve"> </w:t>
            </w:r>
          </w:p>
        </w:tc>
        <w:tc>
          <w:tcPr>
            <w:tcW w:w="72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2</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cs="宋体"/>
                <w:kern w:val="0"/>
                <w:szCs w:val="21"/>
              </w:rPr>
              <w:t>组合件</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29</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高压氮压机</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color w:val="000000"/>
                <w:kern w:val="0"/>
                <w:szCs w:val="21"/>
              </w:rPr>
              <w:t>45000Nm</w:t>
            </w:r>
            <w:r>
              <w:rPr>
                <w:rFonts w:hint="eastAsia" w:ascii="宋体" w:hAnsi="宋体" w:cs="宋体"/>
                <w:color w:val="000000"/>
                <w:kern w:val="0"/>
                <w:szCs w:val="21"/>
                <w:vertAlign w:val="superscript"/>
              </w:rPr>
              <w:t>3</w:t>
            </w:r>
            <w:r>
              <w:rPr>
                <w:rFonts w:hint="eastAsia" w:ascii="宋体" w:hAnsi="宋体" w:cs="宋体"/>
                <w:color w:val="000000"/>
                <w:kern w:val="0"/>
                <w:szCs w:val="21"/>
              </w:rPr>
              <w:t>/h</w:t>
            </w:r>
            <w:r>
              <w:rPr>
                <w:rFonts w:hint="eastAsia" w:ascii="宋体" w:hAnsi="宋体" w:cs="宋体"/>
                <w:kern w:val="0"/>
                <w:szCs w:val="21"/>
              </w:rPr>
              <w:t xml:space="preserve"> </w:t>
            </w:r>
          </w:p>
        </w:tc>
        <w:tc>
          <w:tcPr>
            <w:tcW w:w="72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2</w:t>
            </w:r>
          </w:p>
        </w:tc>
        <w:tc>
          <w:tcPr>
            <w:tcW w:w="1800" w:type="dxa"/>
            <w:noWrap w:val="0"/>
            <w:vAlign w:val="center"/>
          </w:tcPr>
          <w:p>
            <w:pPr>
              <w:widowControl/>
              <w:spacing w:line="280" w:lineRule="exact"/>
              <w:jc w:val="center"/>
              <w:rPr>
                <w:rFonts w:ascii="宋体" w:hAnsi="宋体"/>
                <w:kern w:val="0"/>
                <w:szCs w:val="21"/>
              </w:rPr>
            </w:pPr>
            <w:r>
              <w:rPr>
                <w:rFonts w:hint="eastAsia" w:ascii="宋体" w:hAnsi="宋体" w:cs="宋体"/>
                <w:kern w:val="0"/>
                <w:szCs w:val="21"/>
              </w:rPr>
              <w:t>组合件</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30</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循环水冷却塔</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71200×21500×10900</w:t>
            </w:r>
          </w:p>
        </w:tc>
        <w:tc>
          <w:tcPr>
            <w:tcW w:w="72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组合件</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31</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175万大卡冷水机组</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型式：螺杆</w:t>
            </w:r>
          </w:p>
        </w:tc>
        <w:tc>
          <w:tcPr>
            <w:tcW w:w="72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组合件</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32</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氨冷却器</w:t>
            </w:r>
          </w:p>
        </w:tc>
        <w:tc>
          <w:tcPr>
            <w:tcW w:w="234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型式：列管</w:t>
            </w:r>
          </w:p>
        </w:tc>
        <w:tc>
          <w:tcPr>
            <w:tcW w:w="720" w:type="dxa"/>
            <w:noWrap w:val="0"/>
            <w:vAlign w:val="center"/>
          </w:tcPr>
          <w:p>
            <w:pPr>
              <w:widowControl/>
              <w:spacing w:line="280" w:lineRule="exact"/>
              <w:jc w:val="center"/>
              <w:rPr>
                <w:rFonts w:hint="eastAsia" w:ascii="宋体" w:hAnsi="宋体"/>
                <w:kern w:val="0"/>
                <w:szCs w:val="21"/>
              </w:rPr>
            </w:pPr>
            <w:r>
              <w:rPr>
                <w:rFonts w:hint="eastAsia" w:ascii="宋体" w:hAnsi="宋体"/>
                <w:kern w:val="0"/>
                <w:szCs w:val="21"/>
              </w:rPr>
              <w:t>1</w:t>
            </w:r>
          </w:p>
        </w:tc>
        <w:tc>
          <w:tcPr>
            <w:tcW w:w="1800" w:type="dxa"/>
            <w:noWrap w:val="0"/>
            <w:vAlign w:val="center"/>
          </w:tcPr>
          <w:p>
            <w:pPr>
              <w:widowControl/>
              <w:spacing w:line="280" w:lineRule="exact"/>
              <w:jc w:val="center"/>
              <w:rPr>
                <w:rFonts w:hint="eastAsia" w:ascii="宋体" w:hAnsi="宋体"/>
                <w:kern w:val="0"/>
                <w:szCs w:val="21"/>
              </w:rPr>
            </w:pPr>
            <w:r>
              <w:rPr>
                <w:rFonts w:hint="eastAsia" w:ascii="宋体" w:hAnsi="宋体" w:cs="宋体"/>
                <w:kern w:val="0"/>
                <w:szCs w:val="21"/>
              </w:rPr>
              <w:t>Q345R</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二</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煤浆制备</w:t>
            </w:r>
          </w:p>
        </w:tc>
        <w:tc>
          <w:tcPr>
            <w:tcW w:w="2340" w:type="dxa"/>
            <w:noWrap w:val="0"/>
            <w:vAlign w:val="center"/>
          </w:tcPr>
          <w:p>
            <w:pPr>
              <w:widowControl/>
              <w:spacing w:line="280" w:lineRule="exact"/>
              <w:jc w:val="center"/>
              <w:rPr>
                <w:rFonts w:hint="eastAsia" w:ascii="宋体" w:hAnsi="宋体" w:cs="宋体"/>
                <w:kern w:val="0"/>
                <w:szCs w:val="21"/>
              </w:rPr>
            </w:pPr>
          </w:p>
        </w:tc>
        <w:tc>
          <w:tcPr>
            <w:tcW w:w="720" w:type="dxa"/>
            <w:noWrap w:val="0"/>
            <w:vAlign w:val="center"/>
          </w:tcPr>
          <w:p>
            <w:pPr>
              <w:widowControl/>
              <w:spacing w:line="280" w:lineRule="exact"/>
              <w:jc w:val="center"/>
              <w:rPr>
                <w:rFonts w:hint="eastAsia" w:ascii="宋体" w:hAnsi="宋体"/>
                <w:kern w:val="0"/>
                <w:szCs w:val="21"/>
              </w:rPr>
            </w:pPr>
          </w:p>
        </w:tc>
        <w:tc>
          <w:tcPr>
            <w:tcW w:w="1800" w:type="dxa"/>
            <w:noWrap w:val="0"/>
            <w:vAlign w:val="center"/>
          </w:tcPr>
          <w:p>
            <w:pPr>
              <w:widowControl/>
              <w:spacing w:line="280" w:lineRule="exact"/>
              <w:jc w:val="center"/>
              <w:rPr>
                <w:rFonts w:hint="eastAsia" w:ascii="宋体" w:hAnsi="宋体"/>
                <w:kern w:val="0"/>
                <w:szCs w:val="21"/>
              </w:rPr>
            </w:pP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添加剂槽</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Ф5000×7500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CS 6mm CA</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磨机给水槽</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Ф3400×5000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Q235B+环氧树脂</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3</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仪表空气储罐</w:t>
            </w:r>
          </w:p>
        </w:tc>
        <w:tc>
          <w:tcPr>
            <w:tcW w:w="2340" w:type="dxa"/>
            <w:noWrap w:val="0"/>
            <w:vAlign w:val="center"/>
          </w:tcPr>
          <w:p>
            <w:pPr>
              <w:spacing w:line="280" w:lineRule="exact"/>
              <w:jc w:val="center"/>
              <w:rPr>
                <w:rFonts w:ascii="宋体" w:hAnsi="宋体" w:cs="宋体"/>
                <w:szCs w:val="21"/>
              </w:rPr>
            </w:pPr>
            <w:r>
              <w:rPr>
                <w:rFonts w:hint="eastAsia" w:ascii="宋体" w:hAnsi="宋体" w:cs="宋体"/>
                <w:szCs w:val="21"/>
              </w:rPr>
              <w:t>3m</w:t>
            </w:r>
            <w:r>
              <w:rPr>
                <w:rFonts w:hint="eastAsia" w:ascii="宋体" w:hAnsi="宋体" w:cs="宋体"/>
                <w:szCs w:val="21"/>
                <w:vertAlign w:val="superscript"/>
              </w:rPr>
              <w:t>3</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cs="宋体"/>
                <w:szCs w:val="21"/>
              </w:rPr>
            </w:pPr>
            <w:r>
              <w:rPr>
                <w:rFonts w:hint="eastAsia" w:ascii="宋体" w:hAnsi="宋体"/>
                <w:kern w:val="0"/>
                <w:szCs w:val="21"/>
              </w:rPr>
              <w:t>Q235B</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4</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压缩空气储罐</w:t>
            </w:r>
          </w:p>
        </w:tc>
        <w:tc>
          <w:tcPr>
            <w:tcW w:w="2340" w:type="dxa"/>
            <w:noWrap w:val="0"/>
            <w:vAlign w:val="center"/>
          </w:tcPr>
          <w:p>
            <w:pPr>
              <w:spacing w:line="280" w:lineRule="exact"/>
              <w:jc w:val="center"/>
              <w:rPr>
                <w:rFonts w:ascii="宋体" w:hAnsi="宋体" w:cs="宋体"/>
                <w:szCs w:val="21"/>
              </w:rPr>
            </w:pPr>
            <w:r>
              <w:rPr>
                <w:rFonts w:hint="eastAsia" w:ascii="宋体" w:hAnsi="宋体" w:cs="宋体"/>
                <w:szCs w:val="21"/>
              </w:rPr>
              <w:t>3m</w:t>
            </w:r>
            <w:r>
              <w:rPr>
                <w:rFonts w:hint="eastAsia" w:ascii="宋体" w:hAnsi="宋体" w:cs="宋体"/>
                <w:szCs w:val="21"/>
                <w:vertAlign w:val="superscript"/>
              </w:rPr>
              <w:t>3</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cs="宋体"/>
                <w:szCs w:val="21"/>
              </w:rPr>
            </w:pPr>
            <w:r>
              <w:rPr>
                <w:rFonts w:hint="eastAsia" w:ascii="宋体" w:hAnsi="宋体"/>
                <w:kern w:val="0"/>
                <w:szCs w:val="21"/>
              </w:rPr>
              <w:t>Q235B</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5</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煤称重给料机</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100.31t/h</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noWrap w:val="0"/>
            <w:vAlign w:val="center"/>
          </w:tcPr>
          <w:p>
            <w:pPr>
              <w:spacing w:line="280" w:lineRule="exact"/>
              <w:jc w:val="center"/>
              <w:rPr>
                <w:rFonts w:ascii="宋体" w:hAnsi="宋体" w:cs="宋体"/>
                <w:szCs w:val="21"/>
              </w:rPr>
            </w:pPr>
            <w:r>
              <w:rPr>
                <w:rFonts w:hint="eastAsia" w:ascii="宋体" w:hAnsi="宋体"/>
                <w:kern w:val="0"/>
                <w:szCs w:val="21"/>
              </w:rPr>
              <w:t>Q235B</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6</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棒磨机</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78t/h</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316L+高锰钢</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7</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电动桥式起重机</w:t>
            </w:r>
          </w:p>
        </w:tc>
        <w:tc>
          <w:tcPr>
            <w:tcW w:w="2340" w:type="dxa"/>
            <w:noWrap w:val="0"/>
            <w:vAlign w:val="center"/>
          </w:tcPr>
          <w:p>
            <w:pPr>
              <w:spacing w:line="280" w:lineRule="exact"/>
              <w:jc w:val="center"/>
              <w:rPr>
                <w:rFonts w:ascii="宋体" w:hAnsi="宋体" w:cs="宋体"/>
                <w:szCs w:val="21"/>
              </w:rPr>
            </w:pPr>
            <w:r>
              <w:rPr>
                <w:rFonts w:ascii="宋体" w:hAnsi="宋体" w:cs="宋体"/>
                <w:szCs w:val="21"/>
              </w:rPr>
              <w:t>32/</w:t>
            </w:r>
            <w:r>
              <w:rPr>
                <w:rFonts w:hint="eastAsia" w:ascii="宋体" w:hAnsi="宋体" w:cs="宋体"/>
                <w:szCs w:val="21"/>
              </w:rPr>
              <w:t>5t</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cs="宋体"/>
                <w:szCs w:val="21"/>
              </w:rPr>
            </w:pPr>
            <w:r>
              <w:rPr>
                <w:rFonts w:hint="eastAsia" w:ascii="宋体" w:hAnsi="宋体" w:cs="宋体"/>
                <w:szCs w:val="21"/>
              </w:rPr>
              <w:t>组合件</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起重机械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8</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电动葫芦</w:t>
            </w:r>
          </w:p>
        </w:tc>
        <w:tc>
          <w:tcPr>
            <w:tcW w:w="2340" w:type="dxa"/>
            <w:noWrap w:val="0"/>
            <w:vAlign w:val="center"/>
          </w:tcPr>
          <w:p>
            <w:pPr>
              <w:spacing w:line="280" w:lineRule="exact"/>
              <w:jc w:val="center"/>
              <w:rPr>
                <w:rFonts w:ascii="宋体" w:hAnsi="宋体" w:cs="宋体"/>
                <w:szCs w:val="21"/>
              </w:rPr>
            </w:pPr>
            <w:r>
              <w:rPr>
                <w:rFonts w:hint="eastAsia" w:ascii="宋体" w:hAnsi="宋体" w:cs="宋体"/>
                <w:szCs w:val="21"/>
              </w:rPr>
              <w:t>5t</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cs="宋体"/>
                <w:szCs w:val="21"/>
              </w:rPr>
            </w:pPr>
            <w:r>
              <w:rPr>
                <w:rFonts w:hint="eastAsia" w:ascii="宋体" w:hAnsi="宋体" w:cs="宋体"/>
                <w:szCs w:val="21"/>
              </w:rPr>
              <w:t>组合件</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起重机械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9</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电动葫芦</w:t>
            </w:r>
          </w:p>
        </w:tc>
        <w:tc>
          <w:tcPr>
            <w:tcW w:w="2340" w:type="dxa"/>
            <w:noWrap w:val="0"/>
            <w:vAlign w:val="center"/>
          </w:tcPr>
          <w:p>
            <w:pPr>
              <w:spacing w:line="280" w:lineRule="exact"/>
              <w:jc w:val="center"/>
              <w:rPr>
                <w:rFonts w:ascii="宋体" w:hAnsi="宋体" w:cs="宋体"/>
                <w:szCs w:val="21"/>
              </w:rPr>
            </w:pPr>
            <w:r>
              <w:rPr>
                <w:rFonts w:hint="eastAsia" w:ascii="宋体" w:hAnsi="宋体" w:cs="宋体"/>
                <w:szCs w:val="21"/>
              </w:rPr>
              <w:t>3t</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cs="宋体"/>
                <w:szCs w:val="21"/>
              </w:rPr>
            </w:pPr>
            <w:r>
              <w:rPr>
                <w:rFonts w:hint="eastAsia" w:ascii="宋体" w:hAnsi="宋体" w:cs="宋体"/>
                <w:szCs w:val="21"/>
              </w:rPr>
              <w:t>组合件</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起重机械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10</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电动葫芦</w:t>
            </w:r>
          </w:p>
        </w:tc>
        <w:tc>
          <w:tcPr>
            <w:tcW w:w="2340" w:type="dxa"/>
            <w:noWrap w:val="0"/>
            <w:vAlign w:val="center"/>
          </w:tcPr>
          <w:p>
            <w:pPr>
              <w:spacing w:line="280" w:lineRule="exact"/>
              <w:jc w:val="center"/>
              <w:rPr>
                <w:rFonts w:ascii="宋体" w:hAnsi="宋体" w:cs="宋体"/>
                <w:szCs w:val="21"/>
              </w:rPr>
            </w:pPr>
            <w:r>
              <w:rPr>
                <w:rFonts w:hint="eastAsia" w:ascii="宋体" w:hAnsi="宋体" w:cs="宋体"/>
                <w:szCs w:val="21"/>
              </w:rPr>
              <w:t>3t</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cs="宋体"/>
                <w:szCs w:val="21"/>
              </w:rPr>
            </w:pPr>
            <w:r>
              <w:rPr>
                <w:rFonts w:hint="eastAsia" w:ascii="宋体" w:hAnsi="宋体" w:cs="宋体"/>
                <w:szCs w:val="21"/>
              </w:rPr>
              <w:t>组合件</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起重机械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三</w:t>
            </w:r>
          </w:p>
        </w:tc>
        <w:tc>
          <w:tcPr>
            <w:tcW w:w="2520"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煤气化</w:t>
            </w:r>
          </w:p>
        </w:tc>
        <w:tc>
          <w:tcPr>
            <w:tcW w:w="2340" w:type="dxa"/>
            <w:noWrap w:val="0"/>
            <w:vAlign w:val="center"/>
          </w:tcPr>
          <w:p>
            <w:pPr>
              <w:widowControl/>
              <w:spacing w:line="280" w:lineRule="exact"/>
              <w:jc w:val="center"/>
              <w:rPr>
                <w:rFonts w:hint="eastAsia" w:ascii="宋体" w:hAnsi="宋体" w:cs="宋体"/>
                <w:kern w:val="0"/>
                <w:szCs w:val="21"/>
              </w:rPr>
            </w:pPr>
          </w:p>
        </w:tc>
        <w:tc>
          <w:tcPr>
            <w:tcW w:w="720" w:type="dxa"/>
            <w:noWrap w:val="0"/>
            <w:vAlign w:val="center"/>
          </w:tcPr>
          <w:p>
            <w:pPr>
              <w:widowControl/>
              <w:spacing w:line="280" w:lineRule="exact"/>
              <w:jc w:val="center"/>
              <w:rPr>
                <w:rFonts w:hint="eastAsia" w:ascii="宋体" w:hAnsi="宋体"/>
                <w:kern w:val="0"/>
                <w:szCs w:val="21"/>
              </w:rPr>
            </w:pPr>
          </w:p>
        </w:tc>
        <w:tc>
          <w:tcPr>
            <w:tcW w:w="1800" w:type="dxa"/>
            <w:noWrap w:val="0"/>
            <w:vAlign w:val="center"/>
          </w:tcPr>
          <w:p>
            <w:pPr>
              <w:widowControl/>
              <w:spacing w:line="280" w:lineRule="exact"/>
              <w:jc w:val="center"/>
              <w:rPr>
                <w:rFonts w:hint="eastAsia" w:ascii="宋体" w:hAnsi="宋体"/>
                <w:kern w:val="0"/>
                <w:szCs w:val="21"/>
              </w:rPr>
            </w:pP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煤浆槽</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Ф10500×10000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CS +环氧树脂</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2</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高压氮气储罐</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Ф1000×22000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Q345R</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3</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中高压氮气储罐</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Ф800×3000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Q235R</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4</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烧嘴冷却水槽</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Ф3000×4500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CS 3mm CA</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5</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事故烧嘴冷却水槽</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Ф2600×5000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CS 3mm CA</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6</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烧嘴冷却回水气体分离器</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Ф650×1750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4</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Q235B</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7</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锁斗</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Ф2400×5000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Q345R+堆焊</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8</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锁斗冲洗水罐</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Ф3200×7000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Q235B</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9</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气化炉</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Ф3880×24369</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SA336F11Cl3、15CrMo</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10</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旋风分离器</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Ф2600×9600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Q345R+S31603</w:t>
            </w:r>
          </w:p>
        </w:tc>
        <w:tc>
          <w:tcPr>
            <w:tcW w:w="1264" w:type="dxa"/>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11</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水洗塔</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Ф4000×13500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Q345R+S31603</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noWrap w:val="0"/>
            <w:vAlign w:val="center"/>
          </w:tcPr>
          <w:p>
            <w:pPr>
              <w:spacing w:line="280" w:lineRule="exact"/>
              <w:jc w:val="center"/>
              <w:rPr>
                <w:rFonts w:hint="eastAsia" w:ascii="宋体" w:hAnsi="宋体"/>
                <w:szCs w:val="21"/>
              </w:rPr>
            </w:pPr>
            <w:r>
              <w:rPr>
                <w:rFonts w:hint="eastAsia" w:ascii="宋体" w:hAnsi="宋体"/>
                <w:szCs w:val="21"/>
              </w:rPr>
              <w:t>12</w:t>
            </w:r>
          </w:p>
        </w:tc>
        <w:tc>
          <w:tcPr>
            <w:tcW w:w="2520" w:type="dxa"/>
            <w:noWrap w:val="0"/>
            <w:vAlign w:val="center"/>
          </w:tcPr>
          <w:p>
            <w:pPr>
              <w:spacing w:line="280" w:lineRule="exact"/>
              <w:jc w:val="center"/>
              <w:rPr>
                <w:rFonts w:ascii="宋体" w:hAnsi="宋体" w:cs="宋体"/>
                <w:szCs w:val="21"/>
              </w:rPr>
            </w:pPr>
            <w:r>
              <w:rPr>
                <w:rFonts w:hint="eastAsia" w:ascii="宋体" w:hAnsi="宋体"/>
                <w:szCs w:val="21"/>
              </w:rPr>
              <w:t>黑水过滤器</w:t>
            </w:r>
          </w:p>
        </w:tc>
        <w:tc>
          <w:tcPr>
            <w:tcW w:w="2340" w:type="dxa"/>
            <w:noWrap w:val="0"/>
            <w:vAlign w:val="center"/>
          </w:tcPr>
          <w:p>
            <w:pPr>
              <w:spacing w:line="280" w:lineRule="exact"/>
              <w:jc w:val="center"/>
              <w:rPr>
                <w:rFonts w:ascii="宋体" w:hAnsi="宋体" w:cs="宋体"/>
                <w:szCs w:val="21"/>
              </w:rPr>
            </w:pPr>
            <w:r>
              <w:rPr>
                <w:rFonts w:hint="eastAsia" w:ascii="宋体" w:hAnsi="宋体"/>
                <w:szCs w:val="21"/>
              </w:rPr>
              <w:t>Ф800×2000</w:t>
            </w:r>
          </w:p>
        </w:tc>
        <w:tc>
          <w:tcPr>
            <w:tcW w:w="720" w:type="dxa"/>
            <w:noWrap w:val="0"/>
            <w:vAlign w:val="center"/>
          </w:tcPr>
          <w:p>
            <w:pPr>
              <w:spacing w:line="280" w:lineRule="exact"/>
              <w:jc w:val="center"/>
              <w:rPr>
                <w:rFonts w:ascii="宋体" w:hAnsi="宋体" w:cs="宋体"/>
                <w:szCs w:val="21"/>
              </w:rPr>
            </w:pPr>
            <w:r>
              <w:rPr>
                <w:rFonts w:hint="eastAsia" w:ascii="宋体" w:hAnsi="宋体"/>
                <w:szCs w:val="21"/>
              </w:rPr>
              <w:t>4</w:t>
            </w:r>
          </w:p>
        </w:tc>
        <w:tc>
          <w:tcPr>
            <w:tcW w:w="1800" w:type="dxa"/>
            <w:noWrap w:val="0"/>
            <w:vAlign w:val="center"/>
          </w:tcPr>
          <w:p>
            <w:pPr>
              <w:spacing w:line="280" w:lineRule="exact"/>
              <w:jc w:val="center"/>
              <w:rPr>
                <w:rFonts w:ascii="宋体" w:hAnsi="宋体" w:cs="宋体"/>
                <w:szCs w:val="21"/>
              </w:rPr>
            </w:pPr>
            <w:r>
              <w:rPr>
                <w:rFonts w:hint="eastAsia" w:ascii="宋体" w:hAnsi="宋体"/>
                <w:szCs w:val="21"/>
              </w:rPr>
              <w:t>Q345R</w:t>
            </w:r>
          </w:p>
        </w:tc>
        <w:tc>
          <w:tcPr>
            <w:tcW w:w="1264" w:type="dxa"/>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13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烧嘴冷却水换热器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Ф800，A=215m</w:t>
            </w:r>
            <w:r>
              <w:rPr>
                <w:rFonts w:hint="eastAsia" w:ascii="宋体" w:hAnsi="宋体"/>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CS ，0Cr18Ni9</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14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锁斗冲洗水冷却器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Ф800，A=170m</w:t>
            </w:r>
            <w:r>
              <w:rPr>
                <w:rFonts w:hint="eastAsia" w:ascii="宋体" w:hAnsi="宋体"/>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CS ，0Cr18Ni9</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15</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混合器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Ф600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SS316L</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16</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开工抽引器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Ф1400×2800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SS</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17</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抽引器消音器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Ф1400×2800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SS</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18</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低压氮气缓冲罐</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cs="宋体"/>
                <w:szCs w:val="21"/>
              </w:rPr>
              <w:t>5</w:t>
            </w:r>
            <w:r>
              <w:rPr>
                <w:rFonts w:hint="eastAsia" w:ascii="宋体" w:hAnsi="宋体"/>
                <w:szCs w:val="21"/>
              </w:rPr>
              <w:t>m</w:t>
            </w:r>
            <w:r>
              <w:rPr>
                <w:rFonts w:hint="eastAsia" w:ascii="宋体" w:hAnsi="宋体"/>
                <w:szCs w:val="21"/>
                <w:vertAlign w:val="superscript"/>
              </w:rPr>
              <w:t>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19</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吊车</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3t</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cs="宋体"/>
                <w:szCs w:val="21"/>
              </w:rPr>
              <w:t>组合件</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起重机械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20</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吊车</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1t</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cs="宋体"/>
                <w:szCs w:val="21"/>
              </w:rPr>
              <w:t>组合件</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起重机械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21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电梯</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1t</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cs="宋体"/>
                <w:szCs w:val="21"/>
              </w:rPr>
              <w:t>组合件</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szCs w:val="21"/>
              </w:rPr>
              <w:t>电梯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四</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渣水处理</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kern w:val="0"/>
                <w:szCs w:val="21"/>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kern w:val="0"/>
                <w:szCs w:val="21"/>
              </w:rPr>
            </w:pP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蒸发热水塔</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Ф3400×17500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Q345R+S31603</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低压闪蒸分离器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Ф2000×4500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低压闪蒸器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Ф3000×9000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脱氧槽</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Ф3000×8500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06Cr19Ni10 20R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5</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真空闪蒸器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Ф4000×9000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6</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真空闪蒸分离器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Ф1800×3500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7</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酸性气分离器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Ф2000×4500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8</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澄清槽</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Ф23000×5200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Q235B</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9</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灰水槽</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Ф10800×7800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Q235B</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10</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絮凝剂槽</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Ф2200×3000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SS</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分散剂槽</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Ф2000×2500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SS</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氮封水槽</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1.24m</w:t>
            </w:r>
            <w:r>
              <w:rPr>
                <w:rFonts w:hint="eastAsia" w:ascii="宋体" w:hAnsi="宋体"/>
                <w:szCs w:val="21"/>
                <w:vertAlign w:val="superscript"/>
              </w:rPr>
              <w:t>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Q235A</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高温热水罐</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Ф3400×8000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Q345R+S31603</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变换高温冷凝液槽</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64.2m</w:t>
            </w:r>
            <w:r>
              <w:rPr>
                <w:rFonts w:hint="eastAsia" w:ascii="宋体" w:hAnsi="宋体"/>
                <w:szCs w:val="21"/>
                <w:vertAlign w:val="superscript"/>
              </w:rPr>
              <w:t>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Q345R+S30403</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15</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低压闪蒸冷凝器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Ф1000，A=209.4m</w:t>
            </w:r>
            <w:r>
              <w:rPr>
                <w:rFonts w:hint="eastAsia" w:ascii="宋体" w:hAnsi="宋体"/>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16</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真空闪蒸冷凝器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Ф1200，A=385.4m</w:t>
            </w:r>
            <w:r>
              <w:rPr>
                <w:rFonts w:hint="eastAsia" w:ascii="宋体" w:hAnsi="宋体"/>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Q235B+S30408</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17</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废水冷却器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Ф600，A=113×2m</w:t>
            </w:r>
            <w:r>
              <w:rPr>
                <w:rFonts w:hint="eastAsia" w:ascii="宋体" w:hAnsi="宋体"/>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CS ，0Cr18Ni9</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18</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酸气冷凝器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Ф800，A=218m</w:t>
            </w:r>
            <w:r>
              <w:rPr>
                <w:rFonts w:hint="eastAsia" w:ascii="宋体" w:hAnsi="宋体"/>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CS ，0Cr18Ni9</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19</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静态混合器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Ф400×2800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CS</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20</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真空过滤系统</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过滤面积35m</w:t>
            </w:r>
            <w:r>
              <w:rPr>
                <w:rFonts w:hint="eastAsia" w:ascii="宋体" w:hAnsi="宋体"/>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304不锈钢</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21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吊车</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5t</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cs="宋体"/>
                <w:szCs w:val="21"/>
              </w:rPr>
              <w:t>组合件</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起重机械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22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吊车</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3t</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szCs w:val="21"/>
              </w:rPr>
            </w:pPr>
            <w:r>
              <w:rPr>
                <w:rFonts w:hint="eastAsia" w:ascii="宋体" w:hAnsi="宋体" w:cs="宋体"/>
                <w:szCs w:val="21"/>
              </w:rPr>
              <w:t>组合件</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起重机械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五</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变换</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kern w:val="0"/>
                <w:szCs w:val="21"/>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kern w:val="0"/>
                <w:szCs w:val="21"/>
              </w:rPr>
            </w:pP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煤气预热器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Ф1600×10103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321</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4.0MPa废锅</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Ф1800/2500×14425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1.5MPa废锅</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Ф1600/2300×7175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锅炉给水预热器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Ф1100×6859</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5</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0.5MPa废锅</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Ф1800×11574</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6</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生活水加热器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Ф1600×9030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304</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7</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脱盐水加热器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Ф1300×7717</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304</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8</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变换水冷器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Ф1600×10331</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Q235B</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9</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工艺冷凝液换热器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Ф800×6735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321</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10</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锅炉给水冷却器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Ф600×5053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生活水冷却器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Ф1600×7566</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Q235B</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燃料气冷却器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Φ600×7645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Q235B</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第一变换炉</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Φ4200×13570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SA387Gr11Cl2</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第二变换炉</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Φ3800×12700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15CrMoR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15</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第三变换炉</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Φ4000×13710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16</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变换煤气分离器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Φ3300×10360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17</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煤气过滤器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Φ3600×9087</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15CrMoR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18</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第一水分离器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Φ3100×9274</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19</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第二水分离器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Φ2500×6682</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20</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第三水分离器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Φ2400×9630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锅炉排污分离器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Φ600×3648</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Q235B</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锅炉排污冷却器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φ450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16MnR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燃料气分离器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Φ700×5395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汽提塔/汽提塔冷凝器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Φ1600/2000×23812</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321</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25</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开工加热炉</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Φ1300/4000×32455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六</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脱硫脱碳</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kern w:val="0"/>
                <w:szCs w:val="21"/>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kern w:val="0"/>
                <w:szCs w:val="21"/>
              </w:rPr>
            </w:pP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吸收塔</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Φ3600×80800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09MnNiDR+SA203Gr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CO</w:t>
            </w:r>
            <w:r>
              <w:rPr>
                <w:rFonts w:hint="eastAsia" w:ascii="宋体" w:hAnsi="宋体"/>
                <w:szCs w:val="21"/>
                <w:vertAlign w:val="subscript"/>
              </w:rPr>
              <w:t>2</w:t>
            </w:r>
            <w:r>
              <w:rPr>
                <w:rFonts w:hint="eastAsia" w:ascii="宋体" w:hAnsi="宋体"/>
                <w:szCs w:val="21"/>
              </w:rPr>
              <w:t>产品塔</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Φ3100×58129</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304</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H</w:t>
            </w:r>
            <w:r>
              <w:rPr>
                <w:rFonts w:hint="eastAsia" w:ascii="宋体" w:hAnsi="宋体"/>
                <w:szCs w:val="21"/>
                <w:vertAlign w:val="subscript"/>
              </w:rPr>
              <w:t>2</w:t>
            </w:r>
            <w:r>
              <w:rPr>
                <w:rFonts w:hint="eastAsia" w:ascii="宋体" w:hAnsi="宋体"/>
                <w:szCs w:val="21"/>
              </w:rPr>
              <w:t>S浓缩塔</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Φ3600×57014</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321</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热再生塔</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Φ3700/4500×31675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5</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甲醇/水分离塔</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Φ1300×29965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6</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N</w:t>
            </w:r>
            <w:r>
              <w:rPr>
                <w:rFonts w:hint="eastAsia" w:ascii="宋体" w:hAnsi="宋体"/>
                <w:szCs w:val="21"/>
                <w:vertAlign w:val="subscript"/>
              </w:rPr>
              <w:t>2</w:t>
            </w:r>
            <w:r>
              <w:rPr>
                <w:rFonts w:hint="eastAsia" w:ascii="宋体" w:hAnsi="宋体"/>
                <w:szCs w:val="21"/>
              </w:rPr>
              <w:t>汽提塔</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Φ2400/3500×23860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7</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尾气洗涤塔</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Φ3000×17160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304</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8</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进料气冷却器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Φ2650×9750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321</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9</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尾气/甲醇换热器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Φ1500×7093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304</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10</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贫甲醇冷却器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Φ900/1200×6124</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吸收塔内冷却器I</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Φ1400/1800×8813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循环甲醇冷却器I</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Φ2100×12610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304</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循环甲醇冷却器II</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Φ1200×6500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304</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甲醇热交换器I</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Φ1300×13820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304</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15</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甲醇热交换器II</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Φ1900×19150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304</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16</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甲醇热交换器IV</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Φ1400×12630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304</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17</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甲醇水冷器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kern w:val="0"/>
                <w:szCs w:val="21"/>
              </w:rPr>
            </w:pPr>
            <w:r>
              <w:rPr>
                <w:rFonts w:hint="eastAsia" w:ascii="宋体" w:hAnsi="宋体"/>
                <w:szCs w:val="21"/>
              </w:rPr>
              <w:t>Φ1100×8607</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18</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热再生塔再沸器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Φ1100×4113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Q235B</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19</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H</w:t>
            </w:r>
            <w:r>
              <w:rPr>
                <w:rFonts w:hint="eastAsia" w:ascii="宋体" w:hAnsi="宋体"/>
                <w:szCs w:val="21"/>
                <w:vertAlign w:val="subscript"/>
              </w:rPr>
              <w:t>2</w:t>
            </w:r>
            <w:r>
              <w:rPr>
                <w:rFonts w:hint="eastAsia" w:ascii="宋体" w:hAnsi="宋体"/>
                <w:szCs w:val="21"/>
              </w:rPr>
              <w:t>S馏分水冷器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Φ1300×7014</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20</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H</w:t>
            </w:r>
            <w:r>
              <w:rPr>
                <w:rFonts w:hint="eastAsia" w:ascii="宋体" w:hAnsi="宋体"/>
                <w:szCs w:val="21"/>
                <w:vertAlign w:val="subscript"/>
              </w:rPr>
              <w:t>2</w:t>
            </w:r>
            <w:r>
              <w:rPr>
                <w:rFonts w:hint="eastAsia" w:ascii="宋体" w:hAnsi="宋体"/>
                <w:szCs w:val="21"/>
              </w:rPr>
              <w:t>S馏分换热器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Φ500×3957</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H</w:t>
            </w:r>
            <w:r>
              <w:rPr>
                <w:rFonts w:hint="eastAsia" w:ascii="宋体" w:hAnsi="宋体"/>
                <w:szCs w:val="21"/>
                <w:vertAlign w:val="subscript"/>
              </w:rPr>
              <w:t>2</w:t>
            </w:r>
            <w:r>
              <w:rPr>
                <w:rFonts w:hint="eastAsia" w:ascii="宋体" w:hAnsi="宋体"/>
                <w:szCs w:val="21"/>
              </w:rPr>
              <w:t>S馏分冷凝器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Φ500/800×3617</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吸收塔内冷却器II</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Φ1400/1800×8813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再生气加热器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Φ600×4177</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firstLine="210" w:firstLineChars="100"/>
              <w:rPr>
                <w:rFonts w:ascii="宋体" w:hAnsi="宋体"/>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再生气体冷却器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Φ500×5845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Q235B</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firstLine="210" w:firstLineChars="100"/>
              <w:rPr>
                <w:rFonts w:ascii="宋体" w:hAnsi="宋体"/>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25</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水分离罐</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Φ2400×6736</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321</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26</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循环气闪蒸罐I</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Φ2800×7901</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27</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循环甲醇闪蒸罐II</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Φ2800×7901</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28</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甲醇闪蒸罐</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Φ3200×9529</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29</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甲醇中间储罐</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Φ3000×9816</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Q235B</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H</w:t>
            </w:r>
            <w:r>
              <w:rPr>
                <w:rFonts w:hint="eastAsia" w:ascii="宋体" w:hAnsi="宋体"/>
                <w:szCs w:val="21"/>
                <w:vertAlign w:val="subscript"/>
              </w:rPr>
              <w:t>2</w:t>
            </w:r>
            <w:r>
              <w:rPr>
                <w:rFonts w:hint="eastAsia" w:ascii="宋体" w:hAnsi="宋体"/>
                <w:szCs w:val="21"/>
              </w:rPr>
              <w:t>S馏分分离罐I</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Φ1200×5283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Q245R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H</w:t>
            </w:r>
            <w:r>
              <w:rPr>
                <w:rFonts w:hint="eastAsia" w:ascii="宋体" w:hAnsi="宋体"/>
                <w:szCs w:val="21"/>
                <w:vertAlign w:val="subscript"/>
              </w:rPr>
              <w:t>2</w:t>
            </w:r>
            <w:r>
              <w:rPr>
                <w:rFonts w:hint="eastAsia" w:ascii="宋体" w:hAnsi="宋体"/>
                <w:szCs w:val="21"/>
              </w:rPr>
              <w:t>S气体分离罐II</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Φ550×2459</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甲醇CO</w:t>
            </w:r>
            <w:r>
              <w:rPr>
                <w:rFonts w:hint="eastAsia" w:ascii="宋体" w:hAnsi="宋体"/>
                <w:szCs w:val="21"/>
                <w:vertAlign w:val="subscript"/>
              </w:rPr>
              <w:t>2</w:t>
            </w:r>
            <w:r>
              <w:rPr>
                <w:rFonts w:hint="eastAsia" w:ascii="宋体" w:hAnsi="宋体"/>
                <w:szCs w:val="21"/>
              </w:rPr>
              <w:t>分离罐</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Φ1000×3813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321</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热变换气分离罐</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Φ2500×7425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Q345R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缓冲罐</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Φ1900×5394</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304</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35</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富甲醇氨冷器I</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Φ1100/1600×7467</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kern w:val="0"/>
                <w:szCs w:val="21"/>
              </w:rPr>
            </w:pPr>
            <w:r>
              <w:rPr>
                <w:rFonts w:hint="eastAsia" w:ascii="宋体" w:hAnsi="宋体"/>
                <w:kern w:val="0"/>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36</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地下收集槽</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φ2300×6000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OCr18Ni9</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37</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甲醇/CO</w:t>
            </w:r>
            <w:r>
              <w:rPr>
                <w:rFonts w:hint="eastAsia" w:ascii="宋体" w:hAnsi="宋体"/>
                <w:szCs w:val="21"/>
                <w:vertAlign w:val="subscript"/>
              </w:rPr>
              <w:t>2</w:t>
            </w:r>
            <w:r>
              <w:rPr>
                <w:rFonts w:hint="eastAsia" w:ascii="宋体" w:hAnsi="宋体"/>
                <w:szCs w:val="21"/>
              </w:rPr>
              <w:t>分离罐</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φ1000×2300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OCr18Ni9</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38</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新鲜甲醇储罐</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Cs w:val="21"/>
              </w:rPr>
            </w:pPr>
            <w:r>
              <w:rPr>
                <w:szCs w:val="21"/>
              </w:rPr>
              <w:t>φ8200</w:t>
            </w:r>
            <w:r>
              <w:rPr>
                <w:rFonts w:hint="eastAsia"/>
                <w:szCs w:val="21"/>
              </w:rPr>
              <w:t xml:space="preserve">  495m</w:t>
            </w:r>
            <w:r>
              <w:rPr>
                <w:rFonts w:hint="eastAsia"/>
                <w:szCs w:val="21"/>
                <w:vertAlign w:val="superscript"/>
              </w:rPr>
              <w:t>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20R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39</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污甲醇储罐</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Cs w:val="21"/>
              </w:rPr>
            </w:pPr>
            <w:r>
              <w:rPr>
                <w:szCs w:val="21"/>
              </w:rPr>
              <w:t>φ8200</w:t>
            </w:r>
            <w:r>
              <w:rPr>
                <w:rFonts w:hint="eastAsia"/>
                <w:szCs w:val="21"/>
              </w:rPr>
              <w:t xml:space="preserve">  495m</w:t>
            </w:r>
            <w:r>
              <w:rPr>
                <w:rFonts w:hint="eastAsia"/>
                <w:szCs w:val="21"/>
                <w:vertAlign w:val="superscript"/>
              </w:rPr>
              <w:t>3</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OCr18Ni9</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40</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回流冷却器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φ450×6000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41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变换气再沸器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φ1400/2400×4500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OCr18Ni9</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42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甲醇过滤器Ⅰ</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精密过滤器</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16MnR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43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甲醇过滤器Ⅱ</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精密过滤器</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OCr18Ni9</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44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甲醇过滤器Ⅲ</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精密过滤器</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szCs w:val="21"/>
              </w:rPr>
            </w:pPr>
            <w:r>
              <w:rPr>
                <w:rFonts w:hint="eastAsia" w:ascii="宋体" w:hAnsi="宋体"/>
                <w:szCs w:val="21"/>
              </w:rPr>
              <w:t>七</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液氮洗</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kern w:val="0"/>
                <w:szCs w:val="21"/>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kern w:val="0"/>
                <w:szCs w:val="21"/>
              </w:rPr>
            </w:pP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氮洗塔</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φ1800×15840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铝合金</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压氮气冷却器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φ1760×3900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铝合金</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3</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1号原料气体冷却器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φ1209×2400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铝合金</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4</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2号原料气体冷却器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φ1240×2800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铝合金</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5</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混合器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φ324×3500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铝合金</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6</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氢气分离器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φ1400×3500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铝合金</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7</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吸附器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φ2500×3730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0Cr18Ni9</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8</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气液分离器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φ324×1700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铝合金</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9</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甲醇/水分离塔再沸器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φ1000×2500 δ=10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20R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10</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回流冷却器</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φ450×6000 δ=10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szCs w:val="21"/>
              </w:rPr>
              <w:t>09MnNiDR</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szCs w:val="21"/>
              </w:rPr>
            </w:pPr>
            <w:r>
              <w:rPr>
                <w:rFonts w:hint="eastAsia" w:ascii="宋体" w:hAnsi="宋体" w:cs="宋体"/>
                <w:kern w:val="0"/>
                <w:szCs w:val="21"/>
              </w:rPr>
              <w:t>压力容器</w:t>
            </w:r>
          </w:p>
        </w:tc>
      </w:tr>
    </w:tbl>
    <w:p>
      <w:pPr>
        <w:spacing w:line="500" w:lineRule="exact"/>
        <w:ind w:firstLine="480" w:firstLineChars="200"/>
        <w:rPr>
          <w:rFonts w:hint="eastAsia" w:ascii="Times New Roman" w:hAnsi="Times New Roman" w:cs="Times New Roman"/>
          <w:kern w:val="0"/>
          <w:sz w:val="24"/>
          <w:lang w:val="en-US" w:eastAsia="zh-CN"/>
        </w:rPr>
      </w:pPr>
    </w:p>
    <w:p>
      <w:pPr>
        <w:pStyle w:val="7"/>
        <w:bidi w:val="0"/>
        <w:rPr>
          <w:rFonts w:hint="default" w:cs="Times New Roman"/>
          <w:lang w:val="en-US" w:eastAsia="zh-CN"/>
        </w:rPr>
      </w:pPr>
      <w:bookmarkStart w:id="31" w:name="_Toc31545"/>
      <w:bookmarkStart w:id="32" w:name="_Toc8778"/>
      <w:r>
        <w:rPr>
          <w:rFonts w:hint="default" w:cs="Times New Roman"/>
          <w:lang w:val="en-US" w:eastAsia="zh-CN"/>
        </w:rPr>
        <w:t>3.5 生产工艺流程简介</w:t>
      </w:r>
      <w:bookmarkEnd w:id="31"/>
      <w:bookmarkEnd w:id="32"/>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原料煤经磨煤及煤浆制备单元，煤浆经隔膜泵加压，通过四个对称布置在气化炉中上部同一水平面的工艺喷嘴，与氧气一起对喷进入气化炉。在压力~4.2Mpa、温度~1340℃下气化，再经合成气洗涤单元洗涤除尘后，粗煤气送出至变换。渣/水处理单元将多喷嘴对置式气化及煤气初步净化工序产生的黑水所含的固体和溶解的气体分离出来，并将黑水所含的热量加以回收。</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 xml:space="preserve">变换采用Co-Mo宽温耐硫变换；低温甲醇洗脱硫脱碳；气体精制采用液氮洗；超级克劳斯硫回收工艺。 </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配套的空分装置采用分子筛净化空气，空气增压，液氧内压缩，带增压透平膨胀机及液体膨胀机制冷，膨胀空气进下塔，采用规整填料塔及全精馏无氢制氩的工艺流程。为煤气化装置提供高纯氧气，并为氨合成回路提供高纯氮气，并提供全厂正常生产时所需的仪表空气和工厂工艺空气。</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本项目脱硫脱碳、空分所需冷量由中盈公司氨合成的两套氨冰机提供。</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该项目生产过程中发生的主要化学反应如下：</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2C + O2 = 2CO                   C + O2 = CO2</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C + H2O = CO + H2              C + 2H2O = CO2 + 2H2</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CO + H2O = CO2 + H2</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default"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生产工艺流程见下图</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jc w:val="center"/>
        <w:textAlignment w:val="auto"/>
        <w:rPr>
          <w:rFonts w:hint="default"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图1 生产工艺流程图</w:t>
      </w:r>
    </w:p>
    <w:p>
      <w:pPr>
        <w:keepNext w:val="0"/>
        <w:keepLines w:val="0"/>
        <w:pageBreakBefore w:val="0"/>
        <w:widowControl w:val="0"/>
        <w:kinsoku/>
        <w:wordWrap/>
        <w:overflowPunct/>
        <w:topLinePunct w:val="0"/>
        <w:autoSpaceDE/>
        <w:autoSpaceDN/>
        <w:bidi w:val="0"/>
        <w:adjustRightInd w:val="0"/>
        <w:snapToGrid w:val="0"/>
        <w:spacing w:line="276" w:lineRule="auto"/>
        <w:ind w:firstLine="420" w:firstLineChars="200"/>
        <w:textAlignment w:val="auto"/>
        <w:rPr>
          <w:rFonts w:hint="default" w:ascii="Times New Roman" w:hAnsi="Times New Roman" w:eastAsia="宋体" w:cs="Times New Roman"/>
          <w:b/>
          <w:bCs w:val="0"/>
          <w:sz w:val="28"/>
          <w:szCs w:val="28"/>
        </w:rPr>
      </w:pPr>
      <w:r>
        <w:pict>
          <v:shape id="_x0000_s1026" o:spid="_x0000_s1026" o:spt="75" type="#_x0000_t75" style="position:absolute;left:0pt;margin-left:12.3pt;margin-top:13.75pt;height:190.25pt;width:444pt;mso-wrap-distance-bottom:0pt;mso-wrap-distance-left:9pt;mso-wrap-distance-right:9pt;mso-wrap-distance-top:0pt;z-index:251661312;mso-width-relative:page;mso-height-relative:page;" o:ole="t" filled="f" o:preferrelative="t" stroked="f" coordsize="21600,21600">
            <v:path/>
            <v:fill on="f" focussize="0,0"/>
            <v:stroke on="f"/>
            <v:imagedata r:id="rId11" o:title=""/>
            <o:lock v:ext="edit" aspectratio="t"/>
            <w10:wrap type="square"/>
          </v:shape>
          <o:OLEObject Type="Embed" ProgID="SmartDraw.2" ShapeID="_x0000_s1026" DrawAspect="Content" ObjectID="_1468075725" r:id="rId10">
            <o:LockedField>false</o:LockedField>
          </o:OLEObject>
        </w:pict>
      </w:r>
    </w:p>
    <w:p>
      <w:pPr>
        <w:pStyle w:val="7"/>
        <w:bidi w:val="0"/>
        <w:rPr>
          <w:rFonts w:hint="default" w:cs="Times New Roman"/>
          <w:lang w:val="en-US" w:eastAsia="zh-CN"/>
        </w:rPr>
      </w:pPr>
      <w:bookmarkStart w:id="33" w:name="_Toc25347"/>
      <w:bookmarkStart w:id="34" w:name="_Toc8132"/>
      <w:r>
        <w:rPr>
          <w:rFonts w:hint="eastAsia" w:cs="Times New Roman"/>
          <w:lang w:val="en-US" w:eastAsia="zh-CN"/>
        </w:rPr>
        <w:t>3.6 “三废”</w:t>
      </w:r>
      <w:r>
        <w:rPr>
          <w:rFonts w:hint="default" w:cs="Times New Roman"/>
          <w:lang w:val="en-US" w:eastAsia="zh-CN"/>
        </w:rPr>
        <w:t>的产生</w:t>
      </w:r>
      <w:r>
        <w:rPr>
          <w:rFonts w:hint="eastAsia" w:cs="Times New Roman"/>
          <w:lang w:val="en-US" w:eastAsia="zh-CN"/>
        </w:rPr>
        <w:t>情况</w:t>
      </w:r>
      <w:r>
        <w:rPr>
          <w:rFonts w:hint="default" w:cs="Times New Roman"/>
          <w:lang w:val="en-US" w:eastAsia="zh-CN"/>
        </w:rPr>
        <w:t>及治理措施</w:t>
      </w:r>
      <w:bookmarkEnd w:id="33"/>
      <w:bookmarkEnd w:id="34"/>
    </w:p>
    <w:p>
      <w:pPr>
        <w:pStyle w:val="11"/>
        <w:spacing w:line="520" w:lineRule="exact"/>
        <w:ind w:firstLine="330" w:firstLineChars="150"/>
        <w:rPr>
          <w:rFonts w:hint="eastAsia" w:ascii="黑体" w:eastAsia="黑体"/>
          <w:sz w:val="24"/>
        </w:rPr>
      </w:pPr>
      <w:r>
        <w:rPr>
          <w:rFonts w:hint="eastAsia" w:ascii="微软雅黑" w:hAnsi="微软雅黑" w:eastAsia="微软雅黑" w:cs="微软雅黑"/>
          <w:sz w:val="22"/>
          <w:szCs w:val="22"/>
          <w:lang w:val="en-US" w:eastAsia="zh-CN"/>
        </w:rPr>
        <w:t>3.6.1. 各装置产</w:t>
      </w:r>
      <w:r>
        <w:rPr>
          <w:rFonts w:hint="eastAsia" w:ascii="微软雅黑" w:hAnsi="微软雅黑" w:eastAsia="微软雅黑" w:cs="微软雅黑"/>
          <w:sz w:val="22"/>
          <w:szCs w:val="22"/>
        </w:rPr>
        <w:t>污环节分析</w:t>
      </w:r>
    </w:p>
    <w:p>
      <w:pPr>
        <w:numPr>
          <w:ilvl w:val="0"/>
          <w:numId w:val="0"/>
        </w:numPr>
        <w:spacing w:line="520" w:lineRule="exact"/>
        <w:ind w:firstLine="440" w:firstLineChars="200"/>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(1)空分装置产污环节</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936"/>
        <w:gridCol w:w="1549"/>
        <w:gridCol w:w="1355"/>
        <w:gridCol w:w="1759"/>
        <w:gridCol w:w="213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154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产生量</w:t>
            </w:r>
          </w:p>
        </w:tc>
        <w:tc>
          <w:tcPr>
            <w:tcW w:w="135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主要成份</w:t>
            </w:r>
          </w:p>
        </w:tc>
        <w:tc>
          <w:tcPr>
            <w:tcW w:w="175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固废性质</w:t>
            </w:r>
          </w:p>
        </w:tc>
        <w:tc>
          <w:tcPr>
            <w:tcW w:w="2133"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废铝胶</w:t>
            </w:r>
          </w:p>
        </w:tc>
        <w:tc>
          <w:tcPr>
            <w:tcW w:w="154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20t/3a</w:t>
            </w:r>
          </w:p>
        </w:tc>
        <w:tc>
          <w:tcPr>
            <w:tcW w:w="135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Al</w:t>
            </w:r>
            <w:r>
              <w:rPr>
                <w:rFonts w:hint="eastAsia" w:ascii="仿宋" w:hAnsi="仿宋" w:eastAsia="仿宋" w:cs="仿宋"/>
                <w:sz w:val="21"/>
                <w:szCs w:val="21"/>
                <w:vertAlign w:val="subscript"/>
              </w:rPr>
              <w:t>2</w:t>
            </w:r>
            <w:r>
              <w:rPr>
                <w:rFonts w:hint="eastAsia" w:ascii="仿宋" w:hAnsi="仿宋" w:eastAsia="仿宋" w:cs="仿宋"/>
                <w:sz w:val="21"/>
                <w:szCs w:val="21"/>
              </w:rPr>
              <w:t>O</w:t>
            </w:r>
            <w:r>
              <w:rPr>
                <w:rFonts w:hint="eastAsia" w:ascii="仿宋" w:hAnsi="仿宋" w:eastAsia="仿宋" w:cs="仿宋"/>
                <w:sz w:val="21"/>
                <w:szCs w:val="21"/>
                <w:vertAlign w:val="subscript"/>
              </w:rPr>
              <w:t>3</w:t>
            </w:r>
          </w:p>
        </w:tc>
        <w:tc>
          <w:tcPr>
            <w:tcW w:w="175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一般固废</w:t>
            </w:r>
          </w:p>
        </w:tc>
        <w:tc>
          <w:tcPr>
            <w:tcW w:w="2133" w:type="dxa"/>
            <w:noWrap w:val="0"/>
            <w:vAlign w:val="center"/>
          </w:tcPr>
          <w:p>
            <w:pPr>
              <w:spacing w:line="30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有资质单位回收利用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废分子筛吸附剂</w:t>
            </w:r>
          </w:p>
        </w:tc>
        <w:tc>
          <w:tcPr>
            <w:tcW w:w="154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80t/3a</w:t>
            </w:r>
          </w:p>
        </w:tc>
        <w:tc>
          <w:tcPr>
            <w:tcW w:w="135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Al</w:t>
            </w:r>
            <w:r>
              <w:rPr>
                <w:rFonts w:hint="eastAsia" w:ascii="仿宋" w:hAnsi="仿宋" w:eastAsia="仿宋" w:cs="仿宋"/>
                <w:sz w:val="21"/>
                <w:szCs w:val="21"/>
                <w:vertAlign w:val="subscript"/>
              </w:rPr>
              <w:t>2</w:t>
            </w:r>
            <w:r>
              <w:rPr>
                <w:rFonts w:hint="eastAsia" w:ascii="仿宋" w:hAnsi="仿宋" w:eastAsia="仿宋" w:cs="仿宋"/>
                <w:sz w:val="21"/>
                <w:szCs w:val="21"/>
              </w:rPr>
              <w:t>O</w:t>
            </w:r>
            <w:r>
              <w:rPr>
                <w:rFonts w:hint="eastAsia" w:ascii="仿宋" w:hAnsi="仿宋" w:eastAsia="仿宋" w:cs="仿宋"/>
                <w:sz w:val="21"/>
                <w:szCs w:val="21"/>
                <w:vertAlign w:val="subscript"/>
              </w:rPr>
              <w:t>3</w:t>
            </w:r>
            <w:r>
              <w:rPr>
                <w:rFonts w:hint="eastAsia" w:ascii="仿宋" w:hAnsi="仿宋" w:eastAsia="仿宋" w:cs="仿宋"/>
                <w:sz w:val="21"/>
                <w:szCs w:val="21"/>
              </w:rPr>
              <w:t>、SiO</w:t>
            </w:r>
            <w:r>
              <w:rPr>
                <w:rFonts w:hint="eastAsia" w:ascii="仿宋" w:hAnsi="仿宋" w:eastAsia="仿宋" w:cs="仿宋"/>
                <w:sz w:val="21"/>
                <w:szCs w:val="21"/>
                <w:vertAlign w:val="subscript"/>
              </w:rPr>
              <w:t>2</w:t>
            </w:r>
          </w:p>
        </w:tc>
        <w:tc>
          <w:tcPr>
            <w:tcW w:w="175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一般固废</w:t>
            </w:r>
          </w:p>
        </w:tc>
        <w:tc>
          <w:tcPr>
            <w:tcW w:w="2133" w:type="dxa"/>
            <w:noWrap w:val="0"/>
            <w:vAlign w:val="center"/>
          </w:tcPr>
          <w:p>
            <w:pPr>
              <w:spacing w:line="30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有资质单位回收利用</w:t>
            </w:r>
          </w:p>
        </w:tc>
      </w:tr>
    </w:tbl>
    <w:p>
      <w:pPr>
        <w:spacing w:line="300" w:lineRule="exact"/>
        <w:jc w:val="center"/>
        <w:rPr>
          <w:rFonts w:hint="default" w:ascii="Times New Roman" w:hAnsi="Times New Roman" w:cs="Times New Roman" w:eastAsiaTheme="minorEastAsia"/>
          <w:sz w:val="24"/>
          <w:szCs w:val="24"/>
          <w:lang w:val="en-US" w:eastAsia="zh-CN"/>
        </w:rPr>
      </w:pPr>
    </w:p>
    <w:p>
      <w:pPr>
        <w:pStyle w:val="60"/>
        <w:spacing w:line="520" w:lineRule="exact"/>
        <w:ind w:firstLine="220" w:firstLineChars="100"/>
        <w:rPr>
          <w:rFonts w:hint="eastAsia" w:ascii="微软雅黑" w:hAnsi="微软雅黑" w:eastAsia="微软雅黑" w:cs="微软雅黑"/>
          <w:b w:val="0"/>
          <w:spacing w:val="0"/>
          <w:kern w:val="2"/>
          <w:sz w:val="22"/>
          <w:szCs w:val="22"/>
          <w:lang w:val="en-US" w:eastAsia="zh-CN" w:bidi="ar-SA"/>
        </w:rPr>
      </w:pPr>
      <w:r>
        <w:rPr>
          <w:rFonts w:hint="eastAsia" w:ascii="微软雅黑" w:hAnsi="微软雅黑" w:eastAsia="微软雅黑" w:cs="微软雅黑"/>
          <w:b w:val="0"/>
          <w:spacing w:val="0"/>
          <w:kern w:val="2"/>
          <w:sz w:val="22"/>
          <w:szCs w:val="22"/>
          <w:lang w:val="en-US" w:eastAsia="zh-CN" w:bidi="ar-SA"/>
        </w:rPr>
        <w:t xml:space="preserve"> (2)备煤及水煤浆气化装置产污环节</w:t>
      </w:r>
    </w:p>
    <w:tbl>
      <w:tblPr>
        <w:tblStyle w:val="20"/>
        <w:tblW w:w="88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26"/>
        <w:gridCol w:w="709"/>
        <w:gridCol w:w="2220"/>
        <w:gridCol w:w="2835"/>
        <w:gridCol w:w="20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709"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正常</w:t>
            </w:r>
          </w:p>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排放</w:t>
            </w: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气化破碎楼尾气</w:t>
            </w:r>
          </w:p>
        </w:tc>
        <w:tc>
          <w:tcPr>
            <w:tcW w:w="2835"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袋式除尘器除尘后由50m高排气筒排放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煤贮运工段筒仓尾气</w:t>
            </w:r>
          </w:p>
        </w:tc>
        <w:tc>
          <w:tcPr>
            <w:tcW w:w="2835"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袋式除尘器除尘后由40m高排气筒排放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煤浆制备工段煤粉尘</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top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袋式除尘器除尘后由50m高排气筒排放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煤浆制备工段石灰石粉尘</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top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袋式除尘器除尘后由40m高排气筒排放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低压闪蒸气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CO、H2S、NH3</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真空泵分离器出口尾气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CO、H2S</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25m高空排放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非正常</w:t>
            </w:r>
          </w:p>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排放</w:t>
            </w: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气化炉开工放空气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CO、H2、CO2、H2O、H2S</w:t>
            </w:r>
          </w:p>
        </w:tc>
        <w:tc>
          <w:tcPr>
            <w:tcW w:w="2080"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气化装置事故排放气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CO、H2、CO2、H2O、H2S</w:t>
            </w:r>
          </w:p>
        </w:tc>
        <w:tc>
          <w:tcPr>
            <w:tcW w:w="2080" w:type="dxa"/>
            <w:vMerge w:val="continue"/>
            <w:noWrap w:val="0"/>
            <w:vAlign w:val="center"/>
          </w:tcPr>
          <w:p>
            <w:pPr>
              <w:spacing w:line="300" w:lineRule="exact"/>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废水</w:t>
            </w: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气化废水</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SS、氨氮、氰化物、硫化物、COD</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送终端废水处理装置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w:t>
            </w: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气化粗渣</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SiO2、Al2O3、Fe2O3</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外售作建材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气化细渣</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SiO2、Al2O3、Fe2O3</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外售作建材</w:t>
            </w:r>
          </w:p>
        </w:tc>
      </w:tr>
    </w:tbl>
    <w:p>
      <w:pPr>
        <w:pStyle w:val="3"/>
        <w:rPr>
          <w:rFonts w:hint="default" w:ascii="Times New Roman" w:hAnsi="Times New Roman" w:cs="Times New Roman" w:eastAsiaTheme="minorEastAsia"/>
          <w:sz w:val="24"/>
          <w:szCs w:val="24"/>
          <w:lang w:val="en-US" w:eastAsia="zh-CN"/>
        </w:rPr>
      </w:pPr>
    </w:p>
    <w:p>
      <w:pPr>
        <w:pStyle w:val="60"/>
        <w:spacing w:line="540" w:lineRule="exact"/>
        <w:rPr>
          <w:rFonts w:hint="eastAsia" w:ascii="微软雅黑" w:hAnsi="微软雅黑" w:eastAsia="微软雅黑" w:cs="微软雅黑"/>
          <w:b w:val="0"/>
          <w:spacing w:val="0"/>
          <w:kern w:val="2"/>
          <w:sz w:val="22"/>
          <w:szCs w:val="22"/>
          <w:lang w:val="en-US" w:eastAsia="zh-CN" w:bidi="ar-SA"/>
        </w:rPr>
      </w:pPr>
      <w:r>
        <w:rPr>
          <w:rFonts w:hint="eastAsia" w:ascii="微软雅黑" w:hAnsi="微软雅黑" w:eastAsia="微软雅黑" w:cs="微软雅黑"/>
          <w:b w:val="0"/>
          <w:spacing w:val="0"/>
          <w:kern w:val="2"/>
          <w:sz w:val="22"/>
          <w:szCs w:val="22"/>
          <w:lang w:val="en-US" w:eastAsia="zh-CN" w:bidi="ar-SA"/>
        </w:rPr>
        <w:t>（3）变换装置产污环节</w:t>
      </w:r>
    </w:p>
    <w:tbl>
      <w:tblPr>
        <w:tblStyle w:val="20"/>
        <w:tblpPr w:leftFromText="180" w:rightFromText="180" w:vertAnchor="text" w:horzAnchor="page" w:tblpX="1564" w:tblpY="185"/>
        <w:tblOverlap w:val="never"/>
        <w:tblW w:w="882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939"/>
        <w:gridCol w:w="2100"/>
        <w:gridCol w:w="3045"/>
        <w:gridCol w:w="27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污染物</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污染源名称</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主要污染物</w:t>
            </w:r>
          </w:p>
        </w:tc>
        <w:tc>
          <w:tcPr>
            <w:tcW w:w="2744"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废气</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冷凝液汽提塔尾气</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b w:val="0"/>
                <w:color w:val="000000"/>
                <w:spacing w:val="0"/>
                <w:sz w:val="21"/>
                <w:szCs w:val="21"/>
              </w:rPr>
              <w:t>CO、H</w:t>
            </w:r>
            <w:r>
              <w:rPr>
                <w:rFonts w:hint="eastAsia" w:ascii="宋体" w:hAnsi="宋体"/>
                <w:b w:val="0"/>
                <w:color w:val="000000"/>
                <w:spacing w:val="0"/>
                <w:sz w:val="21"/>
                <w:szCs w:val="21"/>
                <w:vertAlign w:val="subscript"/>
              </w:rPr>
              <w:t>2</w:t>
            </w:r>
            <w:r>
              <w:rPr>
                <w:rFonts w:hint="eastAsia" w:ascii="宋体" w:hAnsi="宋体"/>
                <w:b w:val="0"/>
                <w:color w:val="000000"/>
                <w:spacing w:val="0"/>
                <w:sz w:val="21"/>
                <w:szCs w:val="21"/>
              </w:rPr>
              <w:t>S</w:t>
            </w:r>
            <w:r>
              <w:rPr>
                <w:rFonts w:hint="eastAsia" w:ascii="宋体" w:hAnsi="宋体"/>
                <w:b w:val="0"/>
                <w:color w:val="000000"/>
                <w:sz w:val="21"/>
                <w:szCs w:val="21"/>
              </w:rPr>
              <w:t>、H</w:t>
            </w:r>
            <w:r>
              <w:rPr>
                <w:rFonts w:hint="eastAsia" w:ascii="宋体" w:hAnsi="宋体"/>
                <w:b w:val="0"/>
                <w:color w:val="000000"/>
                <w:sz w:val="21"/>
                <w:szCs w:val="21"/>
                <w:vertAlign w:val="subscript"/>
              </w:rPr>
              <w:t>2</w:t>
            </w:r>
          </w:p>
        </w:tc>
        <w:tc>
          <w:tcPr>
            <w:tcW w:w="2744"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废水</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变换工艺冷凝液</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SS、氨氮、氰化物、硫化物、COD</w:t>
            </w:r>
          </w:p>
        </w:tc>
        <w:tc>
          <w:tcPr>
            <w:tcW w:w="2744"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送制气工序用于洗涤粗煤气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固废</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变换废触媒</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Co、Mo</w:t>
            </w:r>
          </w:p>
        </w:tc>
        <w:tc>
          <w:tcPr>
            <w:tcW w:w="2744" w:type="dxa"/>
            <w:noWrap w:val="0"/>
            <w:vAlign w:val="center"/>
          </w:tcPr>
          <w:p>
            <w:pPr>
              <w:pStyle w:val="60"/>
              <w:spacing w:line="300" w:lineRule="exact"/>
              <w:jc w:val="center"/>
              <w:rPr>
                <w:rFonts w:hint="default" w:ascii="宋体" w:hAnsi="宋体" w:eastAsia="宋体"/>
                <w:b w:val="0"/>
                <w:snapToGrid w:val="0"/>
                <w:spacing w:val="0"/>
                <w:kern w:val="0"/>
                <w:sz w:val="21"/>
                <w:szCs w:val="21"/>
                <w:lang w:val="en-US" w:eastAsia="zh-CN"/>
              </w:rPr>
            </w:pPr>
            <w:r>
              <w:rPr>
                <w:rFonts w:hint="eastAsia" w:ascii="宋体" w:hAnsi="宋体" w:eastAsia="宋体"/>
                <w:b w:val="0"/>
                <w:snapToGrid w:val="0"/>
                <w:spacing w:val="0"/>
                <w:kern w:val="0"/>
                <w:sz w:val="21"/>
                <w:szCs w:val="21"/>
                <w:lang w:val="en-US" w:eastAsia="zh-CN"/>
              </w:rPr>
              <w:t>有资质单位处置/回收利用</w:t>
            </w:r>
          </w:p>
        </w:tc>
      </w:tr>
    </w:tbl>
    <w:p>
      <w:pPr>
        <w:pStyle w:val="60"/>
        <w:spacing w:line="540" w:lineRule="exact"/>
        <w:rPr>
          <w:rFonts w:hint="eastAsia" w:ascii="微软雅黑" w:hAnsi="微软雅黑" w:eastAsia="微软雅黑" w:cs="微软雅黑"/>
          <w:b w:val="0"/>
          <w:spacing w:val="0"/>
          <w:kern w:val="2"/>
          <w:sz w:val="22"/>
          <w:szCs w:val="22"/>
          <w:lang w:val="en-US" w:eastAsia="zh-CN" w:bidi="ar-SA"/>
        </w:rPr>
      </w:pPr>
      <w:r>
        <w:rPr>
          <w:rFonts w:hint="eastAsia" w:ascii="微软雅黑" w:hAnsi="微软雅黑" w:eastAsia="微软雅黑" w:cs="微软雅黑"/>
          <w:b w:val="0"/>
          <w:spacing w:val="0"/>
          <w:kern w:val="2"/>
          <w:sz w:val="22"/>
          <w:szCs w:val="22"/>
          <w:lang w:val="en-US" w:eastAsia="zh-CN" w:bidi="ar-SA"/>
        </w:rPr>
        <w:t xml:space="preserve"> （4）酸性气体脱除装置产污环节</w:t>
      </w:r>
    </w:p>
    <w:tbl>
      <w:tblPr>
        <w:tblStyle w:val="20"/>
        <w:tblpPr w:leftFromText="180" w:rightFromText="180" w:vertAnchor="text" w:horzAnchor="page" w:tblpX="1539" w:tblpY="385"/>
        <w:tblOverlap w:val="never"/>
        <w:tblW w:w="905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84"/>
        <w:gridCol w:w="2531"/>
        <w:gridCol w:w="2914"/>
        <w:gridCol w:w="27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再生尾气</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CO2、N2、CO、甲醇、CH4</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30m高空排放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vMerge w:val="continue"/>
            <w:noWrap w:val="0"/>
            <w:vAlign w:val="center"/>
          </w:tcPr>
          <w:p>
            <w:pPr>
              <w:spacing w:line="300" w:lineRule="exact"/>
              <w:jc w:val="center"/>
              <w:rPr>
                <w:rFonts w:hint="eastAsia" w:ascii="仿宋" w:hAnsi="仿宋" w:eastAsia="仿宋" w:cs="仿宋"/>
                <w:sz w:val="21"/>
                <w:szCs w:val="21"/>
              </w:rPr>
            </w:pP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富含硫气</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CO2、N2、CH4、H2S</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去硫回收装置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废水</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甲醇水分离塔废水</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COD、SS、挥发酚、石油类</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去终端水处理装置</w:t>
            </w:r>
          </w:p>
        </w:tc>
      </w:tr>
    </w:tbl>
    <w:p>
      <w:pPr>
        <w:pStyle w:val="60"/>
        <w:spacing w:line="520" w:lineRule="exact"/>
        <w:rPr>
          <w:rFonts w:hint="default" w:ascii="微软雅黑" w:hAnsi="微软雅黑" w:eastAsia="微软雅黑" w:cs="微软雅黑"/>
          <w:b w:val="0"/>
          <w:spacing w:val="0"/>
          <w:kern w:val="2"/>
          <w:sz w:val="22"/>
          <w:szCs w:val="22"/>
          <w:lang w:val="en-US" w:eastAsia="zh-CN" w:bidi="ar-SA"/>
        </w:rPr>
      </w:pPr>
      <w:r>
        <w:rPr>
          <w:rFonts w:hint="eastAsia" w:ascii="微软雅黑" w:hAnsi="微软雅黑" w:eastAsia="微软雅黑" w:cs="微软雅黑"/>
          <w:b w:val="0"/>
          <w:spacing w:val="0"/>
          <w:kern w:val="2"/>
          <w:sz w:val="22"/>
          <w:szCs w:val="22"/>
          <w:lang w:val="en-US" w:eastAsia="zh-CN" w:bidi="ar-SA"/>
        </w:rPr>
        <w:t xml:space="preserve"> </w:t>
      </w:r>
    </w:p>
    <w:p>
      <w:pPr>
        <w:pStyle w:val="60"/>
        <w:numPr>
          <w:ilvl w:val="0"/>
          <w:numId w:val="1"/>
        </w:numPr>
        <w:spacing w:line="520" w:lineRule="exact"/>
        <w:ind w:firstLine="422" w:firstLineChars="192"/>
        <w:rPr>
          <w:rFonts w:hint="eastAsia" w:ascii="微软雅黑" w:hAnsi="微软雅黑" w:eastAsia="微软雅黑" w:cs="微软雅黑"/>
          <w:b w:val="0"/>
          <w:spacing w:val="0"/>
          <w:kern w:val="2"/>
          <w:sz w:val="22"/>
          <w:szCs w:val="22"/>
          <w:lang w:val="en-US" w:eastAsia="zh-CN" w:bidi="ar-SA"/>
        </w:rPr>
      </w:pPr>
      <w:r>
        <w:rPr>
          <w:rFonts w:hint="eastAsia" w:ascii="微软雅黑" w:hAnsi="微软雅黑" w:eastAsia="微软雅黑" w:cs="微软雅黑"/>
          <w:b w:val="0"/>
          <w:spacing w:val="0"/>
          <w:kern w:val="2"/>
          <w:sz w:val="22"/>
          <w:szCs w:val="22"/>
          <w:lang w:val="en-US" w:eastAsia="zh-CN" w:bidi="ar-SA"/>
        </w:rPr>
        <w:t>液氮洗装置产污环节</w:t>
      </w:r>
    </w:p>
    <w:tbl>
      <w:tblPr>
        <w:tblStyle w:val="20"/>
        <w:tblpPr w:leftFromText="180" w:rightFromText="180" w:vertAnchor="text" w:horzAnchor="page" w:tblpX="1577" w:tblpY="328"/>
        <w:tblOverlap w:val="never"/>
        <w:tblW w:w="913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99"/>
        <w:gridCol w:w="2231"/>
        <w:gridCol w:w="2745"/>
        <w:gridCol w:w="2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9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2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74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296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9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22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液氮洗解吸气</w:t>
            </w:r>
          </w:p>
        </w:tc>
        <w:tc>
          <w:tcPr>
            <w:tcW w:w="274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CO、N2、CH4、H2、Ar</w:t>
            </w:r>
          </w:p>
        </w:tc>
        <w:tc>
          <w:tcPr>
            <w:tcW w:w="296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9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w:t>
            </w:r>
          </w:p>
        </w:tc>
        <w:tc>
          <w:tcPr>
            <w:tcW w:w="22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液氮洗废分子筛</w:t>
            </w:r>
          </w:p>
        </w:tc>
        <w:tc>
          <w:tcPr>
            <w:tcW w:w="274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SiO2、Al2O3等</w:t>
            </w:r>
          </w:p>
        </w:tc>
        <w:tc>
          <w:tcPr>
            <w:tcW w:w="2961" w:type="dxa"/>
            <w:noWrap w:val="0"/>
            <w:vAlign w:val="center"/>
          </w:tcPr>
          <w:p>
            <w:pPr>
              <w:spacing w:line="300" w:lineRule="exact"/>
              <w:jc w:val="center"/>
              <w:rPr>
                <w:rFonts w:hint="eastAsia" w:ascii="仿宋" w:hAnsi="仿宋" w:eastAsia="仿宋" w:cs="仿宋"/>
                <w:sz w:val="21"/>
                <w:szCs w:val="21"/>
              </w:rPr>
            </w:pPr>
            <w:r>
              <w:rPr>
                <w:rFonts w:hint="eastAsia" w:ascii="宋体" w:hAnsi="宋体" w:eastAsia="宋体"/>
                <w:b w:val="0"/>
                <w:snapToGrid w:val="0"/>
                <w:spacing w:val="0"/>
                <w:kern w:val="0"/>
                <w:sz w:val="21"/>
                <w:szCs w:val="21"/>
                <w:lang w:val="en-US" w:eastAsia="zh-CN"/>
              </w:rPr>
              <w:t>有资质单位处置/回收利用</w:t>
            </w:r>
          </w:p>
        </w:tc>
      </w:tr>
    </w:tbl>
    <w:p>
      <w:pPr>
        <w:pStyle w:val="60"/>
        <w:spacing w:line="480" w:lineRule="exact"/>
        <w:rPr>
          <w:rFonts w:hint="eastAsia" w:ascii="微软雅黑" w:hAnsi="微软雅黑" w:eastAsia="微软雅黑" w:cs="微软雅黑"/>
          <w:b w:val="0"/>
          <w:spacing w:val="0"/>
          <w:kern w:val="2"/>
          <w:sz w:val="22"/>
          <w:szCs w:val="22"/>
          <w:lang w:val="en-US" w:eastAsia="zh-CN" w:bidi="ar-SA"/>
        </w:rPr>
      </w:pPr>
    </w:p>
    <w:p>
      <w:pPr>
        <w:pStyle w:val="60"/>
        <w:spacing w:line="480" w:lineRule="exact"/>
        <w:rPr>
          <w:rFonts w:hint="eastAsia" w:ascii="微软雅黑" w:hAnsi="微软雅黑" w:eastAsia="微软雅黑" w:cs="微软雅黑"/>
          <w:sz w:val="22"/>
          <w:szCs w:val="22"/>
          <w:lang w:val="en-US" w:eastAsia="zh-CN"/>
        </w:rPr>
      </w:pPr>
      <w:r>
        <w:rPr>
          <w:rFonts w:hint="eastAsia" w:ascii="微软雅黑" w:hAnsi="微软雅黑" w:eastAsia="微软雅黑" w:cs="微软雅黑"/>
          <w:b w:val="0"/>
          <w:spacing w:val="0"/>
          <w:kern w:val="2"/>
          <w:sz w:val="22"/>
          <w:szCs w:val="22"/>
          <w:lang w:val="en-US" w:eastAsia="zh-CN" w:bidi="ar-SA"/>
        </w:rPr>
        <w:t>（6）硫回收装置产污环节</w:t>
      </w:r>
    </w:p>
    <w:tbl>
      <w:tblPr>
        <w:tblStyle w:val="20"/>
        <w:tblpPr w:leftFromText="180" w:rightFromText="180" w:vertAnchor="text" w:horzAnchor="page" w:tblpX="1773" w:tblpY="236"/>
        <w:tblOverlap w:val="never"/>
        <w:tblW w:w="882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84"/>
        <w:gridCol w:w="2531"/>
        <w:gridCol w:w="2048"/>
        <w:gridCol w:w="33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硫回收焚烧尾气</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SO2</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经双碱法脱硫后30m高排气筒排放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废水</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酸性气体洗涤废水</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甲醇、硫化物</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进终端水处理装置处理后排放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硫回收废催化剂</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Al2O3、TiO2</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宋体" w:hAnsi="宋体" w:eastAsia="宋体"/>
                <w:b w:val="0"/>
                <w:snapToGrid w:val="0"/>
                <w:spacing w:val="0"/>
                <w:kern w:val="0"/>
                <w:sz w:val="21"/>
                <w:szCs w:val="21"/>
                <w:lang w:val="en-US" w:eastAsia="zh-CN"/>
              </w:rPr>
              <w:t>有资质单位处置/回收利用</w:t>
            </w:r>
          </w:p>
        </w:tc>
      </w:tr>
    </w:tbl>
    <w:p>
      <w:pPr>
        <w:pStyle w:val="11"/>
        <w:spacing w:line="520" w:lineRule="exact"/>
        <w:ind w:firstLine="330" w:firstLineChars="150"/>
        <w:rPr>
          <w:rFonts w:hint="eastAsia" w:ascii="微软雅黑" w:hAnsi="微软雅黑" w:eastAsia="微软雅黑" w:cs="微软雅黑"/>
          <w:sz w:val="22"/>
          <w:szCs w:val="22"/>
          <w:lang w:val="en-US" w:eastAsia="zh-CN"/>
        </w:rPr>
      </w:pPr>
    </w:p>
    <w:p>
      <w:pPr>
        <w:pStyle w:val="11"/>
        <w:spacing w:line="520" w:lineRule="exact"/>
        <w:ind w:firstLine="330" w:firstLineChars="150"/>
        <w:rPr>
          <w:rFonts w:hint="eastAsia" w:ascii="微软雅黑" w:hAnsi="微软雅黑" w:eastAsia="微软雅黑" w:cs="微软雅黑"/>
          <w:sz w:val="22"/>
          <w:szCs w:val="22"/>
          <w:lang w:val="en-US" w:eastAsia="zh-CN"/>
        </w:rPr>
      </w:pPr>
    </w:p>
    <w:p>
      <w:pPr>
        <w:pStyle w:val="11"/>
        <w:spacing w:line="520" w:lineRule="exact"/>
        <w:ind w:firstLine="330" w:firstLineChars="150"/>
        <w:rPr>
          <w:rFonts w:hint="eastAsia" w:ascii="微软雅黑" w:hAnsi="微软雅黑" w:eastAsia="微软雅黑" w:cs="微软雅黑"/>
          <w:sz w:val="22"/>
          <w:szCs w:val="22"/>
          <w:lang w:val="en-US" w:eastAsia="zh-CN"/>
        </w:rPr>
      </w:pPr>
    </w:p>
    <w:p>
      <w:pPr>
        <w:pStyle w:val="11"/>
        <w:spacing w:line="520" w:lineRule="exact"/>
        <w:ind w:firstLine="330" w:firstLineChars="15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3.6.2 环保措施及设施</w:t>
      </w:r>
    </w:p>
    <w:p>
      <w:pPr>
        <w:keepNext w:val="0"/>
        <w:keepLines w:val="0"/>
        <w:pageBreakBefore w:val="0"/>
        <w:widowControl w:val="0"/>
        <w:kinsoku/>
        <w:wordWrap/>
        <w:overflowPunct/>
        <w:topLinePunct w:val="0"/>
        <w:autoSpaceDE/>
        <w:autoSpaceDN/>
        <w:bidi w:val="0"/>
        <w:adjustRightInd w:val="0"/>
        <w:snapToGrid w:val="0"/>
        <w:spacing w:line="276" w:lineRule="auto"/>
        <w:ind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color w:val="000000"/>
          <w:sz w:val="22"/>
          <w:szCs w:val="22"/>
          <w:lang w:val="en-US" w:eastAsia="zh-CN"/>
        </w:rPr>
        <w:t>根据环境影响评价报告及省环保厅的批复文件，严格按照国家标准和规范及设计要求进行建设。安阳盈德气体有限公司与主体工程同时建设了粉尘净化及高空排放系统、硫回收系统、火炬系统、备煤系统、废水生化处理系统、事故水池、降噪设施等环境污染防治措施。防治设施如下：</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（1）</w:t>
      </w:r>
      <w:r>
        <w:rPr>
          <w:rFonts w:hint="default" w:ascii="微软雅黑" w:hAnsi="微软雅黑" w:eastAsia="微软雅黑" w:cs="微软雅黑"/>
          <w:kern w:val="2"/>
          <w:sz w:val="22"/>
          <w:szCs w:val="22"/>
          <w:lang w:val="en-US" w:eastAsia="zh-CN" w:bidi="ar-SA"/>
        </w:rPr>
        <w:t xml:space="preserve"> </w:t>
      </w:r>
      <w:r>
        <w:rPr>
          <w:rFonts w:hint="eastAsia" w:ascii="微软雅黑" w:hAnsi="微软雅黑" w:eastAsia="微软雅黑" w:cs="微软雅黑"/>
          <w:kern w:val="2"/>
          <w:sz w:val="22"/>
          <w:szCs w:val="22"/>
          <w:lang w:val="en-US" w:eastAsia="zh-CN" w:bidi="ar-SA"/>
        </w:rPr>
        <w:t>废气处理设施一览表</w:t>
      </w:r>
    </w:p>
    <w:tbl>
      <w:tblPr>
        <w:tblStyle w:val="20"/>
        <w:tblpPr w:leftFromText="180" w:rightFromText="180" w:vertAnchor="text" w:horzAnchor="page" w:tblpXSpec="center" w:tblpY="592"/>
        <w:tblOverlap w:val="never"/>
        <w:tblW w:w="499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28" w:type="dxa"/>
          <w:bottom w:w="0" w:type="dxa"/>
          <w:right w:w="28" w:type="dxa"/>
        </w:tblCellMar>
      </w:tblPr>
      <w:tblGrid>
        <w:gridCol w:w="1193"/>
        <w:gridCol w:w="2055"/>
        <w:gridCol w:w="2182"/>
        <w:gridCol w:w="2094"/>
        <w:gridCol w:w="129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827" w:hRule="atLeast"/>
          <w:jc w:val="center"/>
        </w:trPr>
        <w:tc>
          <w:tcPr>
            <w:tcW w:w="676" w:type="pct"/>
            <w:tcBorders>
              <w:top w:val="single" w:color="auto" w:sz="4" w:space="0"/>
              <w:left w:val="single" w:color="000000" w:sz="6" w:space="0"/>
              <w:bottom w:val="single" w:color="000000" w:sz="6"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主要装置</w:t>
            </w:r>
          </w:p>
        </w:tc>
        <w:tc>
          <w:tcPr>
            <w:tcW w:w="1164" w:type="pct"/>
            <w:tcBorders>
              <w:top w:val="single" w:color="auto" w:sz="4" w:space="0"/>
              <w:bottom w:val="single" w:color="000000" w:sz="6"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项目</w:t>
            </w:r>
          </w:p>
        </w:tc>
        <w:tc>
          <w:tcPr>
            <w:tcW w:w="1236" w:type="pct"/>
            <w:tcBorders>
              <w:top w:val="single" w:color="auto" w:sz="4" w:space="0"/>
              <w:bottom w:val="single" w:color="000000" w:sz="6"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环保设计要求</w:t>
            </w:r>
          </w:p>
        </w:tc>
        <w:tc>
          <w:tcPr>
            <w:tcW w:w="1186" w:type="pct"/>
            <w:tcBorders>
              <w:top w:val="single" w:color="auto" w:sz="4" w:space="0"/>
              <w:bottom w:val="single" w:color="000000" w:sz="6" w:space="0"/>
              <w:right w:val="single" w:color="auto" w:sz="4"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实际建设情况</w:t>
            </w:r>
          </w:p>
        </w:tc>
        <w:tc>
          <w:tcPr>
            <w:tcW w:w="735" w:type="pct"/>
            <w:tcBorders>
              <w:top w:val="single" w:color="auto" w:sz="4"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运行情况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6" w:type="pct"/>
            <w:vMerge w:val="restart"/>
            <w:tcBorders>
              <w:top w:val="single" w:color="auto" w:sz="4"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气化</w:t>
            </w: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煤浆制备工段煤粉尘</w:t>
            </w:r>
          </w:p>
        </w:tc>
        <w:tc>
          <w:tcPr>
            <w:tcW w:w="1236"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袋式除尘器，设计50米高空排放</w:t>
            </w:r>
          </w:p>
        </w:tc>
        <w:tc>
          <w:tcPr>
            <w:tcW w:w="1186" w:type="pct"/>
            <w:tcBorders>
              <w:top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sz w:val="21"/>
                <w:szCs w:val="21"/>
              </w:rPr>
            </w:pPr>
            <w:r>
              <w:rPr>
                <w:rFonts w:hint="eastAsia" w:ascii="宋体" w:hAnsi="宋体" w:eastAsia="宋体" w:cs="宋体"/>
                <w:sz w:val="21"/>
                <w:szCs w:val="21"/>
              </w:rPr>
              <w:t>已完成，54米高空排放</w:t>
            </w:r>
          </w:p>
        </w:tc>
        <w:tc>
          <w:tcPr>
            <w:tcW w:w="735"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rPr>
              <w:t xml:space="preserve">运行正常 </w:t>
            </w:r>
            <w:r>
              <w:rPr>
                <w:rFonts w:hint="eastAsia" w:ascii="宋体" w:hAnsi="宋体" w:cs="宋体"/>
                <w:sz w:val="21"/>
                <w:szCs w:val="21"/>
                <w:lang w:val="en-US" w:eastAsia="zh-CN"/>
              </w:rPr>
              <w:t>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945" w:hRule="atLeast"/>
          <w:jc w:val="center"/>
        </w:trPr>
        <w:tc>
          <w:tcPr>
            <w:tcW w:w="676" w:type="pct"/>
            <w:vMerge w:val="continue"/>
            <w:tcBorders>
              <w:top w:val="single" w:color="000000" w:sz="6" w:space="0"/>
              <w:left w:val="single" w:color="000000" w:sz="6" w:space="0"/>
              <w:bottom w:val="single" w:color="auto" w:sz="4"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真空泵分离器出口尾气</w:t>
            </w:r>
          </w:p>
        </w:tc>
        <w:tc>
          <w:tcPr>
            <w:tcW w:w="1236"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25m高排气筒排放放空</w:t>
            </w:r>
          </w:p>
          <w:p>
            <w:pPr>
              <w:spacing w:line="300" w:lineRule="exact"/>
              <w:rPr>
                <w:rFonts w:hint="eastAsia" w:ascii="宋体" w:hAnsi="宋体" w:eastAsia="宋体" w:cs="宋体"/>
                <w:sz w:val="21"/>
                <w:szCs w:val="21"/>
              </w:rPr>
            </w:pPr>
            <w:r>
              <w:rPr>
                <w:rFonts w:hint="eastAsia" w:ascii="宋体" w:hAnsi="宋体" w:eastAsia="宋体" w:cs="宋体"/>
                <w:sz w:val="21"/>
                <w:szCs w:val="21"/>
              </w:rPr>
              <w:t>黑水处理两级真空闪蒸器</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已完成，27米高空排放</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rPr>
              <w:t xml:space="preserve">运行正常 </w:t>
            </w:r>
            <w:r>
              <w:rPr>
                <w:rFonts w:hint="eastAsia" w:ascii="宋体" w:hAnsi="宋体" w:cs="宋体"/>
                <w:sz w:val="21"/>
                <w:szCs w:val="21"/>
                <w:lang w:val="en-US" w:eastAsia="zh-CN"/>
              </w:rPr>
              <w:t>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55" w:hRule="atLeast"/>
          <w:jc w:val="center"/>
        </w:trPr>
        <w:tc>
          <w:tcPr>
            <w:tcW w:w="676" w:type="pct"/>
            <w:tcBorders>
              <w:top w:val="single" w:color="auto" w:sz="4" w:space="0"/>
              <w:left w:val="single" w:color="000000" w:sz="6" w:space="0"/>
              <w:bottom w:val="single" w:color="auto" w:sz="4"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auto" w:sz="4"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低压闪蒸气</w:t>
            </w:r>
          </w:p>
        </w:tc>
        <w:tc>
          <w:tcPr>
            <w:tcW w:w="1236"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送火炬燃烧后60m</w:t>
            </w:r>
          </w:p>
          <w:p>
            <w:pPr>
              <w:spacing w:line="300" w:lineRule="exact"/>
              <w:rPr>
                <w:rFonts w:hint="eastAsia" w:ascii="宋体" w:hAnsi="宋体" w:eastAsia="宋体" w:cs="宋体"/>
                <w:sz w:val="21"/>
                <w:szCs w:val="21"/>
              </w:rPr>
            </w:pPr>
            <w:r>
              <w:rPr>
                <w:rFonts w:hint="eastAsia" w:ascii="宋体" w:hAnsi="宋体" w:eastAsia="宋体" w:cs="宋体"/>
                <w:sz w:val="21"/>
                <w:szCs w:val="21"/>
              </w:rPr>
              <w:t>高空排放</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6" w:type="pct"/>
            <w:vMerge w:val="restart"/>
            <w:tcBorders>
              <w:top w:val="single" w:color="auto" w:sz="4"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净化装置</w:t>
            </w: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富含硫尾气</w:t>
            </w:r>
          </w:p>
        </w:tc>
        <w:tc>
          <w:tcPr>
            <w:tcW w:w="1236" w:type="pct"/>
            <w:tcBorders>
              <w:top w:val="single" w:color="auto" w:sz="4"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超优克劳斯硫回收</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已完成，超优克劳斯硫回收</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 xml:space="preserve">运行正常 </w:t>
            </w:r>
            <w:r>
              <w:rPr>
                <w:rFonts w:hint="eastAsia" w:ascii="宋体" w:hAnsi="宋体" w:cs="宋体"/>
                <w:sz w:val="21"/>
                <w:szCs w:val="21"/>
                <w:lang w:val="en-US" w:eastAsia="zh-CN"/>
              </w:rPr>
              <w:t>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895" w:hRule="atLeast"/>
          <w:jc w:val="center"/>
        </w:trPr>
        <w:tc>
          <w:tcPr>
            <w:tcW w:w="676"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硫回收焚烧尾气</w:t>
            </w:r>
          </w:p>
        </w:tc>
        <w:tc>
          <w:tcPr>
            <w:tcW w:w="1236" w:type="pct"/>
            <w:tcBorders>
              <w:top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超优克劳斯硫回收尾气焚烧后，再经双减法脱硫后由30米高排气筒排放</w:t>
            </w:r>
          </w:p>
        </w:tc>
        <w:tc>
          <w:tcPr>
            <w:tcW w:w="1186" w:type="pct"/>
            <w:tcBorders>
              <w:top w:val="single" w:color="auto" w:sz="4" w:space="0"/>
              <w:right w:val="single" w:color="auto" w:sz="4" w:space="0"/>
            </w:tcBorders>
            <w:vAlign w:val="center"/>
          </w:tcPr>
          <w:p>
            <w:pPr>
              <w:spacing w:line="300" w:lineRule="exact"/>
              <w:rPr>
                <w:rFonts w:hint="default" w:ascii="宋体" w:hAnsi="宋体" w:eastAsia="宋体" w:cs="宋体"/>
                <w:sz w:val="21"/>
                <w:szCs w:val="21"/>
                <w:lang w:val="en-US" w:eastAsia="zh-CN"/>
              </w:rPr>
            </w:pPr>
            <w:r>
              <w:rPr>
                <w:rFonts w:hint="eastAsia" w:ascii="宋体" w:hAnsi="宋体" w:eastAsia="宋体" w:cs="宋体"/>
                <w:sz w:val="21"/>
                <w:szCs w:val="21"/>
              </w:rPr>
              <w:t>已完成，超优克劳斯硫回收尾气焚烧后经</w:t>
            </w:r>
            <w:r>
              <w:rPr>
                <w:rFonts w:hint="eastAsia" w:ascii="宋体" w:hAnsi="宋体" w:cs="宋体"/>
                <w:sz w:val="21"/>
                <w:szCs w:val="21"/>
                <w:lang w:val="en-US" w:eastAsia="zh-CN"/>
              </w:rPr>
              <w:t>氨法脱硫处置后60米排放。</w:t>
            </w:r>
          </w:p>
        </w:tc>
        <w:tc>
          <w:tcPr>
            <w:tcW w:w="735" w:type="pct"/>
            <w:tcBorders>
              <w:top w:val="single" w:color="auto" w:sz="4" w:space="0"/>
              <w:left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 xml:space="preserve">运行正常 </w:t>
            </w:r>
            <w:r>
              <w:rPr>
                <w:rFonts w:hint="eastAsia" w:ascii="宋体" w:hAnsi="宋体" w:cs="宋体"/>
                <w:sz w:val="21"/>
                <w:szCs w:val="21"/>
                <w:lang w:val="en-US" w:eastAsia="zh-CN"/>
              </w:rPr>
              <w:t>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6"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低温甲醇洗再生尾气</w:t>
            </w:r>
          </w:p>
        </w:tc>
        <w:tc>
          <w:tcPr>
            <w:tcW w:w="1236"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30m高排气筒排放放空</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已完成，84米高空排放</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 xml:space="preserve">运行正常 </w:t>
            </w:r>
            <w:r>
              <w:rPr>
                <w:rFonts w:hint="eastAsia" w:ascii="宋体" w:hAnsi="宋体" w:cs="宋体"/>
                <w:sz w:val="21"/>
                <w:szCs w:val="21"/>
                <w:lang w:val="en-US" w:eastAsia="zh-CN"/>
              </w:rPr>
              <w:t>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15" w:hRule="atLeast"/>
          <w:jc w:val="center"/>
        </w:trPr>
        <w:tc>
          <w:tcPr>
            <w:tcW w:w="676" w:type="pct"/>
            <w:vMerge w:val="continue"/>
            <w:tcBorders>
              <w:top w:val="single" w:color="000000" w:sz="6" w:space="0"/>
              <w:left w:val="single" w:color="000000" w:sz="6" w:space="0"/>
              <w:bottom w:val="single" w:color="000000" w:sz="6" w:space="0"/>
              <w:right w:val="single" w:color="auto" w:sz="4"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auto" w:sz="4" w:space="0"/>
              <w:left w:val="single" w:color="auto" w:sz="4" w:space="0"/>
              <w:bottom w:val="single" w:color="000000" w:sz="6"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冷凝液汽提塔尾气</w:t>
            </w:r>
          </w:p>
        </w:tc>
        <w:tc>
          <w:tcPr>
            <w:tcW w:w="1236" w:type="pct"/>
            <w:vMerge w:val="restart"/>
            <w:tcBorders>
              <w:top w:val="single" w:color="000000" w:sz="6" w:space="0"/>
              <w:lef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送火炬燃烧后60m</w:t>
            </w:r>
          </w:p>
          <w:p>
            <w:pPr>
              <w:spacing w:line="300" w:lineRule="exact"/>
              <w:rPr>
                <w:rFonts w:hint="eastAsia" w:ascii="宋体" w:hAnsi="宋体" w:eastAsia="宋体" w:cs="宋体"/>
                <w:sz w:val="21"/>
                <w:szCs w:val="21"/>
              </w:rPr>
            </w:pPr>
            <w:r>
              <w:rPr>
                <w:rFonts w:hint="eastAsia" w:ascii="宋体" w:hAnsi="宋体" w:eastAsia="宋体" w:cs="宋体"/>
                <w:sz w:val="21"/>
                <w:szCs w:val="21"/>
              </w:rPr>
              <w:t>高空排放</w:t>
            </w:r>
          </w:p>
        </w:tc>
        <w:tc>
          <w:tcPr>
            <w:tcW w:w="1186" w:type="pct"/>
            <w:vMerge w:val="restart"/>
            <w:tcBorders>
              <w:top w:val="single" w:color="auto" w:sz="4" w:space="0"/>
              <w:bottom w:val="single" w:color="000000" w:sz="6" w:space="0"/>
              <w:right w:val="single" w:color="auto" w:sz="4" w:space="0"/>
            </w:tcBorders>
            <w:vAlign w:val="center"/>
          </w:tcPr>
          <w:p>
            <w:pPr>
              <w:spacing w:line="300" w:lineRule="exact"/>
              <w:rPr>
                <w:rFonts w:hint="eastAsia" w:ascii="宋体" w:hAnsi="宋体" w:eastAsia="宋体" w:cs="宋体"/>
                <w:sz w:val="21"/>
                <w:szCs w:val="21"/>
              </w:rPr>
            </w:pPr>
          </w:p>
          <w:p>
            <w:pPr>
              <w:spacing w:line="300" w:lineRule="exact"/>
              <w:rPr>
                <w:rFonts w:hint="eastAsia" w:ascii="宋体" w:hAnsi="宋体" w:eastAsia="宋体" w:cs="宋体"/>
                <w:sz w:val="21"/>
                <w:szCs w:val="21"/>
              </w:rPr>
            </w:pPr>
            <w:r>
              <w:rPr>
                <w:rFonts w:hint="eastAsia" w:ascii="宋体" w:hAnsi="宋体" w:eastAsia="宋体" w:cs="宋体"/>
                <w:sz w:val="21"/>
                <w:szCs w:val="21"/>
              </w:rPr>
              <w:t>已完成，送火炬燃烧后60m</w:t>
            </w:r>
          </w:p>
          <w:p>
            <w:pPr>
              <w:spacing w:line="300" w:lineRule="exact"/>
              <w:rPr>
                <w:rFonts w:hint="eastAsia" w:ascii="宋体" w:hAnsi="宋体" w:eastAsia="宋体" w:cs="宋体"/>
                <w:sz w:val="21"/>
                <w:szCs w:val="21"/>
              </w:rPr>
            </w:pPr>
            <w:r>
              <w:rPr>
                <w:rFonts w:hint="eastAsia" w:ascii="宋体" w:hAnsi="宋体" w:eastAsia="宋体" w:cs="宋体"/>
                <w:sz w:val="21"/>
                <w:szCs w:val="21"/>
              </w:rPr>
              <w:t>高空排放</w:t>
            </w:r>
          </w:p>
        </w:tc>
        <w:tc>
          <w:tcPr>
            <w:tcW w:w="735" w:type="pct"/>
            <w:vMerge w:val="restart"/>
            <w:tcBorders>
              <w:top w:val="single" w:color="auto" w:sz="4"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sz w:val="21"/>
                <w:szCs w:val="21"/>
              </w:rPr>
            </w:pPr>
          </w:p>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 xml:space="preserve">运行正常 </w:t>
            </w:r>
            <w:r>
              <w:rPr>
                <w:rFonts w:hint="eastAsia" w:ascii="宋体" w:hAnsi="宋体" w:cs="宋体"/>
                <w:sz w:val="21"/>
                <w:szCs w:val="21"/>
                <w:lang w:val="en-US" w:eastAsia="zh-CN"/>
              </w:rPr>
              <w:t>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6"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液氮洗解吸气</w:t>
            </w:r>
          </w:p>
        </w:tc>
        <w:tc>
          <w:tcPr>
            <w:tcW w:w="1236" w:type="pct"/>
            <w:vMerge w:val="continue"/>
            <w:tcBorders>
              <w:left w:val="single" w:color="auto" w:sz="4" w:space="0"/>
            </w:tcBorders>
            <w:vAlign w:val="center"/>
          </w:tcPr>
          <w:p>
            <w:pPr>
              <w:spacing w:line="300" w:lineRule="exact"/>
              <w:rPr>
                <w:rFonts w:hint="eastAsia" w:ascii="宋体" w:hAnsi="宋体" w:eastAsia="宋体" w:cs="宋体"/>
                <w:sz w:val="21"/>
                <w:szCs w:val="21"/>
              </w:rPr>
            </w:pPr>
          </w:p>
        </w:tc>
        <w:tc>
          <w:tcPr>
            <w:tcW w:w="1186" w:type="pct"/>
            <w:vMerge w:val="continue"/>
            <w:tcBorders>
              <w:top w:val="single" w:color="000000" w:sz="6" w:space="0"/>
              <w:bottom w:val="single" w:color="000000" w:sz="6" w:space="0"/>
              <w:right w:val="single" w:color="auto" w:sz="4" w:space="0"/>
            </w:tcBorders>
            <w:vAlign w:val="center"/>
          </w:tcPr>
          <w:p>
            <w:pPr>
              <w:spacing w:line="300" w:lineRule="exact"/>
              <w:rPr>
                <w:rFonts w:hint="eastAsia" w:ascii="宋体" w:hAnsi="宋体" w:eastAsia="宋体" w:cs="宋体"/>
                <w:sz w:val="21"/>
                <w:szCs w:val="21"/>
              </w:rPr>
            </w:pPr>
          </w:p>
        </w:tc>
        <w:tc>
          <w:tcPr>
            <w:tcW w:w="735" w:type="pct"/>
            <w:vMerge w:val="continue"/>
            <w:tcBorders>
              <w:top w:val="single" w:color="000000" w:sz="6"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50" w:hRule="atLeast"/>
          <w:jc w:val="center"/>
        </w:trPr>
        <w:tc>
          <w:tcPr>
            <w:tcW w:w="676" w:type="pct"/>
            <w:vMerge w:val="continue"/>
            <w:tcBorders>
              <w:top w:val="single" w:color="000000" w:sz="6" w:space="0"/>
              <w:left w:val="single" w:color="000000" w:sz="6" w:space="0"/>
              <w:bottom w:val="single" w:color="auto" w:sz="4"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非正常工况废气</w:t>
            </w:r>
          </w:p>
        </w:tc>
        <w:tc>
          <w:tcPr>
            <w:tcW w:w="1236" w:type="pct"/>
            <w:vMerge w:val="continue"/>
            <w:tcBorders>
              <w:left w:val="single" w:color="auto" w:sz="4" w:space="0"/>
              <w:bottom w:val="single" w:color="auto" w:sz="4" w:space="0"/>
            </w:tcBorders>
            <w:vAlign w:val="center"/>
          </w:tcPr>
          <w:p>
            <w:pPr>
              <w:spacing w:line="300" w:lineRule="exact"/>
              <w:rPr>
                <w:rFonts w:hint="eastAsia" w:ascii="宋体" w:hAnsi="宋体" w:eastAsia="宋体" w:cs="宋体"/>
                <w:sz w:val="21"/>
                <w:szCs w:val="21"/>
              </w:rPr>
            </w:pPr>
          </w:p>
        </w:tc>
        <w:tc>
          <w:tcPr>
            <w:tcW w:w="1186" w:type="pct"/>
            <w:vMerge w:val="continue"/>
            <w:tcBorders>
              <w:top w:val="single" w:color="000000" w:sz="6"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p>
        </w:tc>
        <w:tc>
          <w:tcPr>
            <w:tcW w:w="735" w:type="pct"/>
            <w:vMerge w:val="continue"/>
            <w:tcBorders>
              <w:top w:val="single" w:color="000000" w:sz="6"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05" w:hRule="atLeast"/>
          <w:jc w:val="center"/>
        </w:trPr>
        <w:tc>
          <w:tcPr>
            <w:tcW w:w="676" w:type="pct"/>
            <w:vMerge w:val="restart"/>
            <w:tcBorders>
              <w:top w:val="single" w:color="auto" w:sz="4" w:space="0"/>
              <w:left w:val="single" w:color="000000" w:sz="6"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煤储运</w:t>
            </w:r>
          </w:p>
        </w:tc>
        <w:tc>
          <w:tcPr>
            <w:tcW w:w="1164"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煤贮运筒仓尾气</w:t>
            </w:r>
          </w:p>
        </w:tc>
        <w:tc>
          <w:tcPr>
            <w:tcW w:w="1236"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袋式除尘器，40米高空排放</w:t>
            </w:r>
          </w:p>
        </w:tc>
        <w:tc>
          <w:tcPr>
            <w:tcW w:w="1186" w:type="pct"/>
            <w:tcBorders>
              <w:top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sz w:val="21"/>
                <w:szCs w:val="21"/>
              </w:rPr>
            </w:pPr>
            <w:r>
              <w:rPr>
                <w:rFonts w:hint="eastAsia" w:ascii="宋体" w:hAnsi="宋体" w:eastAsia="宋体" w:cs="宋体"/>
                <w:sz w:val="21"/>
                <w:szCs w:val="21"/>
              </w:rPr>
              <w:t>已按照要求安装完成</w:t>
            </w:r>
          </w:p>
        </w:tc>
        <w:tc>
          <w:tcPr>
            <w:tcW w:w="735"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sz w:val="21"/>
                <w:szCs w:val="21"/>
              </w:rPr>
            </w:pPr>
            <w:r>
              <w:rPr>
                <w:rFonts w:hint="eastAsia" w:ascii="宋体" w:hAnsi="宋体" w:eastAsia="宋体" w:cs="宋体"/>
                <w:sz w:val="21"/>
                <w:szCs w:val="21"/>
              </w:rPr>
              <w:t xml:space="preserve">运行正常 </w:t>
            </w:r>
            <w:r>
              <w:rPr>
                <w:rFonts w:hint="eastAsia" w:ascii="宋体" w:hAnsi="宋体" w:cs="宋体"/>
                <w:sz w:val="21"/>
                <w:szCs w:val="21"/>
                <w:lang w:val="en-US" w:eastAsia="zh-CN"/>
              </w:rPr>
              <w:t>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50" w:hRule="atLeast"/>
          <w:jc w:val="center"/>
        </w:trPr>
        <w:tc>
          <w:tcPr>
            <w:tcW w:w="676" w:type="pct"/>
            <w:vMerge w:val="continue"/>
            <w:tcBorders>
              <w:left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煤露天堆场、卸煤库、煤干燥棚</w:t>
            </w:r>
          </w:p>
        </w:tc>
        <w:tc>
          <w:tcPr>
            <w:tcW w:w="1236"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防尘、抑尘</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cs="宋体"/>
                <w:sz w:val="21"/>
                <w:szCs w:val="21"/>
                <w:lang w:val="en-US" w:eastAsia="zh-CN"/>
              </w:rPr>
              <w:t>密闭储存场，安装有喷淋降尘</w:t>
            </w:r>
            <w:r>
              <w:rPr>
                <w:rFonts w:hint="eastAsia" w:ascii="宋体" w:hAnsi="宋体" w:eastAsia="宋体" w:cs="宋体"/>
                <w:sz w:val="21"/>
                <w:szCs w:val="21"/>
              </w:rPr>
              <w:t xml:space="preserve"> </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防尘效果明显</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微软雅黑" w:hAnsi="微软雅黑" w:eastAsia="微软雅黑" w:cs="微软雅黑"/>
          <w:kern w:val="2"/>
          <w:sz w:val="22"/>
          <w:szCs w:val="22"/>
          <w:lang w:val="en-US" w:eastAsia="zh-CN" w:bidi="ar-SA"/>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微软雅黑" w:hAnsi="微软雅黑" w:eastAsia="微软雅黑" w:cs="微软雅黑"/>
          <w:kern w:val="2"/>
          <w:sz w:val="22"/>
          <w:szCs w:val="22"/>
          <w:lang w:val="en-US" w:eastAsia="zh-CN" w:bidi="ar-SA"/>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微软雅黑" w:hAnsi="微软雅黑" w:eastAsia="微软雅黑" w:cs="微软雅黑"/>
          <w:kern w:val="2"/>
          <w:sz w:val="22"/>
          <w:szCs w:val="22"/>
          <w:lang w:val="en-US" w:eastAsia="zh-CN" w:bidi="ar-SA"/>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（2）废水处理设施一览表</w:t>
      </w:r>
    </w:p>
    <w:tbl>
      <w:tblPr>
        <w:tblStyle w:val="20"/>
        <w:tblpPr w:leftFromText="180" w:rightFromText="180" w:vertAnchor="text" w:horzAnchor="page" w:tblpX="975" w:tblpY="186"/>
        <w:tblOverlap w:val="never"/>
        <w:tblW w:w="9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4"/>
        <w:gridCol w:w="3969"/>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sz w:val="21"/>
                <w:szCs w:val="21"/>
              </w:rPr>
            </w:pPr>
            <w:r>
              <w:rPr>
                <w:rFonts w:hint="eastAsia" w:ascii="宋体" w:hAnsi="宋体" w:eastAsia="宋体" w:cs="宋体"/>
                <w:b/>
                <w:sz w:val="21"/>
                <w:szCs w:val="21"/>
              </w:rPr>
              <w:t>环保设施</w:t>
            </w:r>
          </w:p>
        </w:tc>
        <w:tc>
          <w:tcPr>
            <w:tcW w:w="3969" w:type="dxa"/>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建设情况</w:t>
            </w:r>
          </w:p>
        </w:tc>
        <w:tc>
          <w:tcPr>
            <w:tcW w:w="2558" w:type="dxa"/>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清污分流、污污分流、雨污分流措施，污水排放口，雨水排放口。</w:t>
            </w:r>
          </w:p>
        </w:tc>
        <w:tc>
          <w:tcPr>
            <w:tcW w:w="3969"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厂区排水管线有清水、污水、雨水，实现清污分流、污污分流、雨污分流</w:t>
            </w:r>
          </w:p>
        </w:tc>
        <w:tc>
          <w:tcPr>
            <w:tcW w:w="2558" w:type="dxa"/>
            <w:vAlign w:val="center"/>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各管线分流，运行正常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3414"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终端废水处理装2400m3/d，IMC+BAF；处理后达标排放COD41mg/l、氨氮3.22mg/l、氰化物0.072mg/l、硫化物0.085mg/l。</w:t>
            </w:r>
          </w:p>
        </w:tc>
        <w:tc>
          <w:tcPr>
            <w:tcW w:w="3969" w:type="dxa"/>
          </w:tcPr>
          <w:p>
            <w:pPr>
              <w:spacing w:line="300" w:lineRule="exact"/>
              <w:rPr>
                <w:rFonts w:hint="default" w:ascii="宋体" w:hAnsi="宋体" w:eastAsia="宋体" w:cs="宋体"/>
                <w:b w:val="0"/>
                <w:bCs/>
                <w:sz w:val="21"/>
                <w:szCs w:val="21"/>
                <w:lang w:val="en-US" w:eastAsia="zh-CN"/>
              </w:rPr>
            </w:pPr>
            <w:r>
              <w:rPr>
                <w:rFonts w:hint="eastAsia" w:ascii="宋体" w:hAnsi="宋体" w:eastAsia="宋体" w:cs="宋体"/>
                <w:b w:val="0"/>
                <w:bCs/>
                <w:sz w:val="21"/>
                <w:szCs w:val="21"/>
              </w:rPr>
              <w:t>在建设2400m3/d，IMC+BAF污水处理基础上</w:t>
            </w:r>
            <w:r>
              <w:rPr>
                <w:rFonts w:hint="eastAsia" w:ascii="宋体" w:hAnsi="宋体" w:cs="宋体"/>
                <w:b w:val="0"/>
                <w:bCs/>
                <w:sz w:val="21"/>
                <w:szCs w:val="21"/>
                <w:lang w:eastAsia="zh-CN"/>
              </w:rPr>
              <w:t>，</w:t>
            </w:r>
            <w:r>
              <w:rPr>
                <w:rFonts w:hint="eastAsia" w:ascii="宋体" w:hAnsi="宋体" w:cs="宋体"/>
                <w:b w:val="0"/>
                <w:bCs/>
                <w:sz w:val="21"/>
                <w:szCs w:val="21"/>
                <w:lang w:val="en-US" w:eastAsia="zh-CN"/>
              </w:rPr>
              <w:t>增加脱磷脱氮系统，去除总磷、总氮。</w:t>
            </w:r>
          </w:p>
          <w:p>
            <w:pPr>
              <w:spacing w:line="300" w:lineRule="exact"/>
              <w:rPr>
                <w:rFonts w:hint="eastAsia" w:ascii="宋体" w:hAnsi="宋体" w:eastAsia="宋体" w:cs="宋体"/>
                <w:b w:val="0"/>
                <w:bCs/>
                <w:sz w:val="21"/>
                <w:szCs w:val="21"/>
              </w:rPr>
            </w:pPr>
          </w:p>
        </w:tc>
        <w:tc>
          <w:tcPr>
            <w:tcW w:w="2558" w:type="dxa"/>
            <w:vAlign w:val="center"/>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运行正常运行正常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全厂设置一个规范化废水排放口，安装流量和COD、氨氮在线监测装置。联网。</w:t>
            </w:r>
          </w:p>
        </w:tc>
        <w:tc>
          <w:tcPr>
            <w:tcW w:w="3969"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已按照要求将全部监测设备安装调试完毕，已与省环保厅、县环保局监控中心联网运行。</w:t>
            </w:r>
          </w:p>
        </w:tc>
        <w:tc>
          <w:tcPr>
            <w:tcW w:w="2558" w:type="dxa"/>
            <w:vAlign w:val="center"/>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设备运行正常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vAlign w:val="top"/>
          </w:tcPr>
          <w:p>
            <w:pPr>
              <w:spacing w:line="300" w:lineRule="exact"/>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制气、净化装置区建一个事故废水储池5000立方米。</w:t>
            </w:r>
          </w:p>
        </w:tc>
        <w:tc>
          <w:tcPr>
            <w:tcW w:w="3969" w:type="dxa"/>
            <w:vAlign w:val="top"/>
          </w:tcPr>
          <w:p>
            <w:pPr>
              <w:spacing w:line="300" w:lineRule="exact"/>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已建设完成并投用（安阳盈德气体有限公司）</w:t>
            </w:r>
          </w:p>
        </w:tc>
        <w:tc>
          <w:tcPr>
            <w:tcW w:w="2558" w:type="dxa"/>
            <w:vAlign w:val="top"/>
          </w:tcPr>
          <w:p>
            <w:pPr>
              <w:spacing w:line="300" w:lineRule="exact"/>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未发生环保事故，设计能满足要。</w:t>
            </w:r>
          </w:p>
        </w:tc>
      </w:tr>
    </w:tbl>
    <w:p>
      <w:pPr>
        <w:pStyle w:val="2"/>
        <w:rPr>
          <w:rFonts w:hint="default"/>
          <w:lang w:val="en-US" w:eastAsia="zh-CN"/>
        </w:rPr>
      </w:pPr>
    </w:p>
    <w:tbl>
      <w:tblPr>
        <w:tblStyle w:val="20"/>
        <w:tblpPr w:leftFromText="180" w:rightFromText="180" w:vertAnchor="text" w:horzAnchor="page" w:tblpX="936" w:tblpY="937"/>
        <w:tblOverlap w:val="never"/>
        <w:tblW w:w="10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8"/>
        <w:gridCol w:w="3685"/>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环保设施</w:t>
            </w:r>
          </w:p>
        </w:tc>
        <w:tc>
          <w:tcPr>
            <w:tcW w:w="368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建设情况</w:t>
            </w:r>
          </w:p>
        </w:tc>
        <w:tc>
          <w:tcPr>
            <w:tcW w:w="2949"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3428"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废催化剂等危险废物的三防储存场所</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cs="宋体"/>
                <w:b w:val="0"/>
                <w:bCs/>
                <w:sz w:val="21"/>
                <w:szCs w:val="21"/>
                <w:lang w:val="en-US" w:eastAsia="zh-CN"/>
              </w:rPr>
              <w:t>建设一座规范的危废储存场所，</w:t>
            </w:r>
            <w:r>
              <w:rPr>
                <w:rFonts w:hint="eastAsia" w:ascii="宋体" w:hAnsi="宋体" w:eastAsia="宋体" w:cs="宋体"/>
                <w:b w:val="0"/>
                <w:bCs/>
                <w:sz w:val="21"/>
                <w:szCs w:val="21"/>
              </w:rPr>
              <w:t>废催化剂由厂家直接回收，已签定回收协议</w:t>
            </w:r>
          </w:p>
        </w:tc>
        <w:tc>
          <w:tcPr>
            <w:tcW w:w="2949"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正常使用中，催化剂未到使用期限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3428"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污水处理污泥</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安阳盈德气体有限公司建设一个污泥临时处置场所，污泥运至中盈化肥煤储运掺入煤中送至气化炉焚烧。</w:t>
            </w:r>
          </w:p>
        </w:tc>
        <w:tc>
          <w:tcPr>
            <w:tcW w:w="2949"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已开始执行，并制订了污泥处置管理规定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428"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气化炉渣</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建设一座具备三防功能的灰渣储存仓库，灰渣外售做建材</w:t>
            </w:r>
          </w:p>
        </w:tc>
        <w:tc>
          <w:tcPr>
            <w:tcW w:w="2949"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已签订煤渣外售合同销售</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（3）危废/固体废物设施一览表</w:t>
      </w:r>
    </w:p>
    <w:p>
      <w:pPr>
        <w:pStyle w:val="14"/>
        <w:pBdr>
          <w:left w:val="none" w:color="auto" w:sz="0" w:space="0"/>
        </w:pBdr>
        <w:jc w:val="left"/>
        <w:rPr>
          <w:rFonts w:hint="eastAsia" w:ascii="宋体" w:hAnsi="宋体" w:cs="宋体"/>
          <w:sz w:val="28"/>
          <w:szCs w:val="28"/>
        </w:rPr>
      </w:pP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jc w:val="both"/>
        <w:textAlignment w:val="auto"/>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4）噪声防治措施</w:t>
      </w:r>
    </w:p>
    <w:tbl>
      <w:tblPr>
        <w:tblStyle w:val="20"/>
        <w:tblpPr w:leftFromText="180" w:rightFromText="180" w:vertAnchor="text" w:horzAnchor="page" w:tblpX="1289" w:tblpY="404"/>
        <w:tblOverlap w:val="never"/>
        <w:tblW w:w="9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368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环保设施</w:t>
            </w:r>
          </w:p>
        </w:tc>
        <w:tc>
          <w:tcPr>
            <w:tcW w:w="368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建设情况</w:t>
            </w:r>
          </w:p>
        </w:tc>
        <w:tc>
          <w:tcPr>
            <w:tcW w:w="31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2816"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隔声降噪</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厂房已安装隔声板，设备基座防震。</w:t>
            </w:r>
          </w:p>
        </w:tc>
        <w:tc>
          <w:tcPr>
            <w:tcW w:w="3181"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厂区对外噪声影响在环保要求控制范围之内，降噪明显</w:t>
            </w:r>
          </w:p>
        </w:tc>
      </w:tr>
    </w:tbl>
    <w:p>
      <w:pPr>
        <w:spacing w:line="300" w:lineRule="exact"/>
        <w:rPr>
          <w:rFonts w:hint="default" w:ascii="Times New Roman" w:hAnsi="Times New Roman" w:cs="Times New Roman"/>
          <w:color w:val="auto"/>
          <w:sz w:val="24"/>
          <w:szCs w:val="24"/>
          <w:highlight w:val="none"/>
          <w:lang w:val="en-US" w:eastAsia="zh-CN"/>
        </w:rPr>
      </w:pPr>
    </w:p>
    <w:p>
      <w:pPr>
        <w:spacing w:line="300" w:lineRule="exact"/>
        <w:jc w:val="center"/>
        <w:rPr>
          <w:rFonts w:hint="eastAsia" w:ascii="Times New Roman" w:hAnsi="Times New Roman" w:cs="Times New Roman"/>
          <w:b/>
          <w:bCs w:val="0"/>
          <w:sz w:val="28"/>
          <w:szCs w:val="28"/>
          <w:lang w:val="en-US" w:eastAsia="zh-CN"/>
        </w:rPr>
      </w:pPr>
    </w:p>
    <w:p>
      <w:pPr>
        <w:pStyle w:val="3"/>
        <w:pageBreakBefore w:val="0"/>
        <w:widowControl w:val="0"/>
        <w:kinsoku/>
        <w:wordWrap/>
        <w:overflowPunct/>
        <w:topLinePunct w:val="0"/>
        <w:autoSpaceDE/>
        <w:autoSpaceDN/>
        <w:bidi w:val="0"/>
        <w:adjustRightInd/>
        <w:snapToGrid/>
        <w:spacing w:before="213" w:line="276" w:lineRule="auto"/>
        <w:ind w:left="220" w:right="237" w:firstLine="480"/>
        <w:textAlignment w:val="auto"/>
        <w:rPr>
          <w:rFonts w:hint="default" w:ascii="微软雅黑" w:hAnsi="微软雅黑" w:eastAsia="微软雅黑" w:cs="微软雅黑"/>
          <w:b/>
          <w:bCs/>
          <w:spacing w:val="-7"/>
          <w:sz w:val="22"/>
          <w:szCs w:val="22"/>
          <w:lang w:val="en-US"/>
        </w:rPr>
      </w:pPr>
      <w:r>
        <w:rPr>
          <w:rFonts w:hint="eastAsia" w:ascii="微软雅黑" w:hAnsi="微软雅黑" w:eastAsia="微软雅黑" w:cs="微软雅黑"/>
          <w:b/>
          <w:bCs/>
          <w:spacing w:val="-7"/>
          <w:sz w:val="22"/>
          <w:szCs w:val="22"/>
          <w:lang w:val="en-US" w:eastAsia="zh-CN"/>
        </w:rPr>
        <w:t>分析公司各工段生产工艺流程、环境污染防治设施，对照《有毒有害大气污染物名录（2018 年）》的公告 （2019 年 第 4 号）、《有毒有害水污染物名录（第一批）》的公告（</w:t>
      </w:r>
      <w:r>
        <w:rPr>
          <w:rFonts w:hint="default" w:ascii="微软雅黑" w:hAnsi="微软雅黑" w:eastAsia="微软雅黑" w:cs="微软雅黑"/>
          <w:b/>
          <w:bCs/>
          <w:spacing w:val="-7"/>
          <w:sz w:val="22"/>
          <w:szCs w:val="22"/>
          <w:lang w:val="en-US" w:eastAsia="zh-CN"/>
        </w:rPr>
        <w:t xml:space="preserve">2019 </w:t>
      </w:r>
      <w:r>
        <w:rPr>
          <w:rFonts w:hint="eastAsia" w:ascii="微软雅黑" w:hAnsi="微软雅黑" w:eastAsia="微软雅黑" w:cs="微软雅黑"/>
          <w:b/>
          <w:bCs/>
          <w:spacing w:val="-7"/>
          <w:sz w:val="22"/>
          <w:szCs w:val="22"/>
          <w:lang w:val="en-US" w:eastAsia="zh-CN"/>
        </w:rPr>
        <w:t xml:space="preserve">年 第 </w:t>
      </w:r>
      <w:r>
        <w:rPr>
          <w:rFonts w:hint="default" w:ascii="微软雅黑" w:hAnsi="微软雅黑" w:eastAsia="微软雅黑" w:cs="微软雅黑"/>
          <w:b/>
          <w:bCs/>
          <w:spacing w:val="-7"/>
          <w:sz w:val="22"/>
          <w:szCs w:val="22"/>
          <w:lang w:val="en-US" w:eastAsia="zh-CN"/>
        </w:rPr>
        <w:t xml:space="preserve">28 </w:t>
      </w:r>
      <w:r>
        <w:rPr>
          <w:rFonts w:hint="eastAsia" w:ascii="微软雅黑" w:hAnsi="微软雅黑" w:eastAsia="微软雅黑" w:cs="微软雅黑"/>
          <w:b/>
          <w:bCs/>
          <w:spacing w:val="-7"/>
          <w:sz w:val="22"/>
          <w:szCs w:val="22"/>
          <w:lang w:val="en-US" w:eastAsia="zh-CN"/>
        </w:rPr>
        <w:t>号），共公司使用的原辅材料、污染物排放因子不涉及名录中有毒有害因子。</w:t>
      </w:r>
    </w:p>
    <w:p>
      <w:pPr>
        <w:keepNext w:val="0"/>
        <w:keepLines w:val="0"/>
        <w:widowControl/>
        <w:suppressLineNumbers w:val="0"/>
        <w:jc w:val="left"/>
      </w:pPr>
    </w:p>
    <w:p>
      <w:pPr>
        <w:pStyle w:val="3"/>
        <w:rPr>
          <w:rFonts w:hint="default"/>
          <w:lang w:val="en-US" w:eastAsia="zh-CN"/>
        </w:rPr>
      </w:pPr>
    </w:p>
    <w:p>
      <w:pPr>
        <w:pStyle w:val="2"/>
        <w:ind w:left="0" w:leftChars="0" w:firstLine="0" w:firstLineChars="0"/>
        <w:rPr>
          <w:rFonts w:hint="eastAsia"/>
          <w:lang w:val="en-US" w:eastAsia="zh-CN"/>
        </w:rPr>
      </w:pPr>
    </w:p>
    <w:p>
      <w:pPr>
        <w:pStyle w:val="6"/>
        <w:bidi w:val="0"/>
        <w:rPr>
          <w:rFonts w:hint="default" w:ascii="Times New Roman" w:hAnsi="Times New Roman" w:cs="Times New Roman"/>
          <w:szCs w:val="22"/>
          <w:lang w:val="en-US" w:eastAsia="zh-CN"/>
        </w:rPr>
      </w:pPr>
      <w:bookmarkStart w:id="35" w:name="_Toc32235"/>
      <w:r>
        <w:rPr>
          <w:rFonts w:hint="eastAsia" w:ascii="Times New Roman" w:hAnsi="Times New Roman" w:cs="Times New Roman"/>
          <w:szCs w:val="22"/>
          <w:lang w:val="en-US" w:eastAsia="zh-CN"/>
        </w:rPr>
        <w:t>4 自行监测方案及结果分析</w:t>
      </w:r>
      <w:bookmarkEnd w:id="35"/>
    </w:p>
    <w:p>
      <w:pPr>
        <w:pStyle w:val="7"/>
        <w:bidi w:val="0"/>
        <w:rPr>
          <w:rFonts w:hint="eastAsia" w:cs="Times New Roman"/>
          <w:lang w:val="en-US" w:eastAsia="zh-CN"/>
        </w:rPr>
      </w:pPr>
      <w:bookmarkStart w:id="36" w:name="_Toc10726"/>
      <w:r>
        <w:rPr>
          <w:rFonts w:hint="eastAsia" w:cs="Times New Roman"/>
          <w:lang w:val="en-US" w:eastAsia="zh-CN"/>
        </w:rPr>
        <w:t>4.1 自行监测方案</w:t>
      </w:r>
      <w:bookmarkEnd w:id="36"/>
    </w:p>
    <w:p>
      <w:pPr>
        <w:pStyle w:val="3"/>
        <w:pageBreakBefore w:val="0"/>
        <w:widowControl w:val="0"/>
        <w:kinsoku/>
        <w:wordWrap/>
        <w:overflowPunct/>
        <w:topLinePunct w:val="0"/>
        <w:autoSpaceDE/>
        <w:autoSpaceDN/>
        <w:bidi w:val="0"/>
        <w:adjustRightInd/>
        <w:snapToGrid/>
        <w:spacing w:before="213" w:line="276" w:lineRule="auto"/>
        <w:ind w:left="220" w:right="237" w:firstLine="480"/>
        <w:textAlignment w:val="auto"/>
        <w:rPr>
          <w:rFonts w:hint="eastAsia" w:ascii="微软雅黑" w:hAnsi="微软雅黑" w:eastAsia="微软雅黑" w:cs="微软雅黑"/>
          <w:sz w:val="22"/>
          <w:szCs w:val="22"/>
        </w:rPr>
      </w:pPr>
      <w:r>
        <w:rPr>
          <w:rFonts w:hint="eastAsia" w:ascii="微软雅黑" w:hAnsi="微软雅黑" w:eastAsia="微软雅黑" w:cs="微软雅黑"/>
          <w:spacing w:val="-7"/>
          <w:sz w:val="22"/>
          <w:szCs w:val="22"/>
        </w:rPr>
        <w:t>根据《在产企业土壤及地下水自行监测技术指南》</w:t>
      </w:r>
      <w:r>
        <w:rPr>
          <w:rFonts w:hint="eastAsia" w:ascii="微软雅黑" w:hAnsi="微软雅黑" w:eastAsia="微软雅黑" w:cs="微软雅黑"/>
          <w:sz w:val="22"/>
          <w:szCs w:val="22"/>
        </w:rPr>
        <w:t>（征求意见稿</w:t>
      </w:r>
      <w:r>
        <w:rPr>
          <w:rFonts w:hint="eastAsia" w:ascii="微软雅黑" w:hAnsi="微软雅黑" w:eastAsia="微软雅黑" w:cs="微软雅黑"/>
          <w:spacing w:val="-20"/>
          <w:sz w:val="22"/>
          <w:szCs w:val="22"/>
        </w:rPr>
        <w:t>），</w:t>
      </w:r>
      <w:r>
        <w:rPr>
          <w:rFonts w:hint="eastAsia" w:ascii="微软雅黑" w:hAnsi="微软雅黑" w:eastAsia="微软雅黑" w:cs="微软雅黑"/>
          <w:spacing w:val="-5"/>
          <w:sz w:val="22"/>
          <w:szCs w:val="22"/>
        </w:rPr>
        <w:t>结合生</w:t>
      </w:r>
      <w:r>
        <w:rPr>
          <w:rFonts w:hint="eastAsia" w:ascii="微软雅黑" w:hAnsi="微软雅黑" w:eastAsia="微软雅黑" w:cs="微软雅黑"/>
          <w:sz w:val="22"/>
          <w:szCs w:val="22"/>
        </w:rPr>
        <w:t>产中所使用的原辅材料等，将本项目样品的分析因子初步设置如下：</w:t>
      </w:r>
    </w:p>
    <w:p>
      <w:pPr>
        <w:pageBreakBefore w:val="0"/>
        <w:widowControl w:val="0"/>
        <w:kinsoku/>
        <w:wordWrap/>
        <w:overflowPunct/>
        <w:topLinePunct w:val="0"/>
        <w:autoSpaceDE/>
        <w:autoSpaceDN/>
        <w:bidi w:val="0"/>
        <w:adjustRightInd/>
        <w:snapToGrid/>
        <w:spacing w:line="276" w:lineRule="auto"/>
        <w:ind w:left="22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b/>
          <w:sz w:val="22"/>
          <w:szCs w:val="22"/>
        </w:rPr>
        <w:t>A1 类-重金属 8 种：</w:t>
      </w:r>
      <w:r>
        <w:rPr>
          <w:rFonts w:hint="eastAsia" w:ascii="微软雅黑" w:hAnsi="微软雅黑" w:eastAsia="微软雅黑" w:cs="微软雅黑"/>
          <w:sz w:val="22"/>
          <w:szCs w:val="22"/>
        </w:rPr>
        <w:t>镉、铅、铬、铜、锌、镍、汞、砷；</w:t>
      </w:r>
    </w:p>
    <w:p>
      <w:pPr>
        <w:pageBreakBefore w:val="0"/>
        <w:widowControl w:val="0"/>
        <w:kinsoku/>
        <w:wordWrap/>
        <w:overflowPunct/>
        <w:topLinePunct w:val="0"/>
        <w:autoSpaceDE/>
        <w:autoSpaceDN/>
        <w:bidi w:val="0"/>
        <w:adjustRightInd/>
        <w:snapToGrid/>
        <w:spacing w:before="213" w:line="276" w:lineRule="auto"/>
        <w:ind w:left="22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b/>
          <w:sz w:val="22"/>
          <w:szCs w:val="22"/>
        </w:rPr>
        <w:t>A2 类-重金属与元素 8 种：</w:t>
      </w:r>
      <w:r>
        <w:rPr>
          <w:rFonts w:hint="eastAsia" w:ascii="微软雅黑" w:hAnsi="微软雅黑" w:eastAsia="微软雅黑" w:cs="微软雅黑"/>
          <w:sz w:val="22"/>
          <w:szCs w:val="22"/>
        </w:rPr>
        <w:t>锰、钴、硒、钒、锑、铊、铍、钼；</w:t>
      </w:r>
    </w:p>
    <w:p>
      <w:pPr>
        <w:pageBreakBefore w:val="0"/>
        <w:widowControl w:val="0"/>
        <w:kinsoku/>
        <w:wordWrap/>
        <w:overflowPunct/>
        <w:topLinePunct w:val="0"/>
        <w:autoSpaceDE/>
        <w:autoSpaceDN/>
        <w:bidi w:val="0"/>
        <w:adjustRightInd/>
        <w:snapToGrid/>
        <w:spacing w:before="211" w:line="276" w:lineRule="auto"/>
        <w:ind w:left="22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b/>
          <w:sz w:val="22"/>
          <w:szCs w:val="22"/>
        </w:rPr>
        <w:t>A3 类-无机物 2 种：</w:t>
      </w:r>
      <w:r>
        <w:rPr>
          <w:rFonts w:hint="eastAsia" w:ascii="微软雅黑" w:hAnsi="微软雅黑" w:eastAsia="微软雅黑" w:cs="微软雅黑"/>
          <w:sz w:val="22"/>
          <w:szCs w:val="22"/>
        </w:rPr>
        <w:t>氰化物、氟化物</w:t>
      </w:r>
    </w:p>
    <w:p>
      <w:pPr>
        <w:pageBreakBefore w:val="0"/>
        <w:widowControl w:val="0"/>
        <w:kinsoku/>
        <w:wordWrap/>
        <w:overflowPunct/>
        <w:topLinePunct w:val="0"/>
        <w:autoSpaceDE/>
        <w:autoSpaceDN/>
        <w:bidi w:val="0"/>
        <w:adjustRightInd/>
        <w:snapToGrid/>
        <w:spacing w:before="213" w:line="276" w:lineRule="auto"/>
        <w:ind w:left="22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b/>
          <w:sz w:val="22"/>
          <w:szCs w:val="22"/>
        </w:rPr>
        <w:t>C3 类：</w:t>
      </w:r>
      <w:r>
        <w:rPr>
          <w:rFonts w:hint="eastAsia" w:ascii="微软雅黑" w:hAnsi="微软雅黑" w:eastAsia="微软雅黑" w:cs="微软雅黑"/>
          <w:sz w:val="22"/>
          <w:szCs w:val="22"/>
        </w:rPr>
        <w:t>石油烃（C10~C40）</w:t>
      </w:r>
    </w:p>
    <w:p>
      <w:pPr>
        <w:pageBreakBefore w:val="0"/>
        <w:widowControl w:val="0"/>
        <w:kinsoku/>
        <w:wordWrap/>
        <w:overflowPunct/>
        <w:topLinePunct w:val="0"/>
        <w:autoSpaceDE/>
        <w:autoSpaceDN/>
        <w:bidi w:val="0"/>
        <w:adjustRightInd/>
        <w:snapToGrid/>
        <w:spacing w:before="214" w:line="276" w:lineRule="auto"/>
        <w:ind w:left="22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D</w:t>
      </w:r>
      <w:r>
        <w:rPr>
          <w:rFonts w:hint="eastAsia" w:ascii="微软雅黑" w:hAnsi="微软雅黑" w:eastAsia="微软雅黑" w:cs="微软雅黑"/>
          <w:b/>
          <w:sz w:val="22"/>
          <w:szCs w:val="22"/>
        </w:rPr>
        <w:t>1 类-土壤 pH：</w:t>
      </w:r>
      <w:r>
        <w:rPr>
          <w:rFonts w:hint="eastAsia" w:ascii="微软雅黑" w:hAnsi="微软雅黑" w:eastAsia="微软雅黑" w:cs="微软雅黑"/>
          <w:sz w:val="22"/>
          <w:szCs w:val="22"/>
        </w:rPr>
        <w:t>pH；</w:t>
      </w:r>
    </w:p>
    <w:p>
      <w:pPr>
        <w:pStyle w:val="3"/>
        <w:pageBreakBefore w:val="0"/>
        <w:widowControl w:val="0"/>
        <w:kinsoku/>
        <w:wordWrap/>
        <w:overflowPunct/>
        <w:topLinePunct w:val="0"/>
        <w:autoSpaceDE/>
        <w:autoSpaceDN/>
        <w:bidi w:val="0"/>
        <w:adjustRightInd/>
        <w:snapToGrid/>
        <w:spacing w:before="211" w:line="276" w:lineRule="auto"/>
        <w:ind w:left="220" w:right="145"/>
        <w:textAlignment w:val="auto"/>
        <w:rPr>
          <w:rFonts w:hint="eastAsia" w:ascii="微软雅黑" w:hAnsi="微软雅黑" w:eastAsia="微软雅黑" w:cs="微软雅黑"/>
          <w:sz w:val="22"/>
          <w:szCs w:val="22"/>
        </w:rPr>
      </w:pPr>
      <w:r>
        <w:rPr>
          <w:rFonts w:hint="eastAsia" w:ascii="微软雅黑" w:hAnsi="微软雅黑" w:eastAsia="微软雅黑" w:cs="微软雅黑"/>
          <w:b/>
          <w:spacing w:val="1"/>
          <w:sz w:val="22"/>
          <w:szCs w:val="22"/>
        </w:rPr>
        <w:t>地下水样品：</w:t>
      </w:r>
      <w:r>
        <w:rPr>
          <w:rFonts w:hint="eastAsia" w:ascii="微软雅黑" w:hAnsi="微软雅黑" w:eastAsia="微软雅黑" w:cs="微软雅黑"/>
          <w:sz w:val="22"/>
          <w:szCs w:val="22"/>
        </w:rPr>
        <w:t>按照《地下水质量标准》（GB14848-2017）及主管部门要求，色度、嗅和味、肉眼可见物、浑浊度、pH、溶解性总固体、总硬度、硫酸盐、氯</w:t>
      </w:r>
      <w:r>
        <w:rPr>
          <w:rFonts w:hint="eastAsia" w:ascii="微软雅黑" w:hAnsi="微软雅黑" w:eastAsia="微软雅黑" w:cs="微软雅黑"/>
          <w:spacing w:val="-1"/>
          <w:sz w:val="22"/>
          <w:szCs w:val="22"/>
        </w:rPr>
        <w:t>化物、铁、锰、铜、锌、铝、挥发性酚类、阴离子表面活性剂、耗氧量、氨氮、</w:t>
      </w:r>
      <w:r>
        <w:rPr>
          <w:rFonts w:hint="eastAsia" w:ascii="微软雅黑" w:hAnsi="微软雅黑" w:eastAsia="微软雅黑" w:cs="微软雅黑"/>
          <w:spacing w:val="-11"/>
          <w:sz w:val="22"/>
          <w:szCs w:val="22"/>
        </w:rPr>
        <w:t>硫化物、钠、总大肠菌群、菌落总数、硝酸盐、亚硝酸盐、氰化物、氟化物、碘化物、汞、砷、硒、镉、六价铬、铅、三氯甲烷、四氯化碳、苯、甲苯、总α放射性、总β放射性；铍、硼、锑、钡、镍、钴、钼、银；</w:t>
      </w:r>
    </w:p>
    <w:p>
      <w:pPr>
        <w:pStyle w:val="7"/>
        <w:bidi w:val="0"/>
        <w:rPr>
          <w:rFonts w:hint="default" w:cs="Times New Roman"/>
          <w:lang w:val="en-US" w:eastAsia="zh-CN"/>
        </w:rPr>
      </w:pPr>
      <w:bookmarkStart w:id="37" w:name="4.4_监测点及监测项目统计"/>
      <w:bookmarkEnd w:id="37"/>
      <w:bookmarkStart w:id="38" w:name="_Toc13324"/>
      <w:r>
        <w:rPr>
          <w:rFonts w:hint="eastAsia" w:cs="Times New Roman"/>
          <w:lang w:val="en-US" w:eastAsia="zh-CN"/>
        </w:rPr>
        <w:t>4.2监测点及监测项目统计一览表</w:t>
      </w:r>
      <w:bookmarkEnd w:id="38"/>
    </w:p>
    <w:p>
      <w:pPr>
        <w:pStyle w:val="3"/>
        <w:pageBreakBefore w:val="0"/>
        <w:widowControl w:val="0"/>
        <w:kinsoku/>
        <w:wordWrap/>
        <w:overflowPunct/>
        <w:topLinePunct w:val="0"/>
        <w:autoSpaceDE/>
        <w:autoSpaceDN/>
        <w:bidi w:val="0"/>
        <w:adjustRightInd/>
        <w:snapToGrid/>
        <w:spacing w:before="214" w:line="276" w:lineRule="auto"/>
        <w:ind w:left="700"/>
        <w:textAlignment w:val="auto"/>
        <w:rPr>
          <w:rFonts w:hint="eastAsia"/>
          <w:lang w:val="en-US" w:eastAsia="zh-CN"/>
        </w:rPr>
      </w:pPr>
      <w:r>
        <w:t>安阳盈德气体有限公司</w:t>
      </w:r>
      <w:r>
        <w:rPr>
          <w:rFonts w:hint="eastAsia"/>
          <w:lang w:val="en-US" w:eastAsia="zh-CN"/>
        </w:rPr>
        <w:t>地块</w:t>
      </w:r>
      <w:r>
        <w:t>各监测点</w:t>
      </w:r>
      <w:r>
        <w:rPr>
          <w:rFonts w:hint="eastAsia"/>
          <w:lang w:val="en-US" w:eastAsia="zh-CN"/>
        </w:rPr>
        <w:t>位及监测项目如下：</w:t>
      </w:r>
    </w:p>
    <w:p>
      <w:pPr>
        <w:spacing w:before="35" w:after="3"/>
        <w:ind w:left="1520" w:right="1539"/>
        <w:jc w:val="center"/>
        <w:rPr>
          <w:rFonts w:ascii="黑体" w:eastAsia="黑体"/>
        </w:rPr>
      </w:pPr>
      <w:r>
        <w:rPr>
          <w:rFonts w:hint="eastAsia" w:ascii="黑体" w:eastAsia="黑体"/>
        </w:rPr>
        <w:t>安阳盈德气体有限公司土壤检测点采样数量及监测项目</w:t>
      </w:r>
    </w:p>
    <w:tbl>
      <w:tblPr>
        <w:tblStyle w:val="20"/>
        <w:tblW w:w="8522"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6"/>
        <w:gridCol w:w="1173"/>
        <w:gridCol w:w="2372"/>
        <w:gridCol w:w="2099"/>
        <w:gridCol w:w="1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146" w:type="dxa"/>
            <w:vMerge w:val="restart"/>
          </w:tcPr>
          <w:p>
            <w:pPr>
              <w:pStyle w:val="61"/>
              <w:spacing w:before="143" w:line="242" w:lineRule="auto"/>
              <w:ind w:left="362" w:right="351"/>
              <w:jc w:val="left"/>
              <w:rPr>
                <w:b/>
              </w:rPr>
            </w:pPr>
            <w:r>
              <w:rPr>
                <w:b/>
              </w:rPr>
              <w:t>样品编号</w:t>
            </w:r>
          </w:p>
        </w:tc>
        <w:tc>
          <w:tcPr>
            <w:tcW w:w="1173" w:type="dxa"/>
            <w:vMerge w:val="restart"/>
          </w:tcPr>
          <w:p>
            <w:pPr>
              <w:pStyle w:val="61"/>
              <w:spacing w:before="143" w:line="242" w:lineRule="auto"/>
              <w:ind w:left="375" w:right="365"/>
              <w:jc w:val="left"/>
              <w:rPr>
                <w:b/>
              </w:rPr>
            </w:pPr>
            <w:r>
              <w:rPr>
                <w:b/>
              </w:rPr>
              <w:t>环境介质</w:t>
            </w:r>
          </w:p>
        </w:tc>
        <w:tc>
          <w:tcPr>
            <w:tcW w:w="2372" w:type="dxa"/>
            <w:vMerge w:val="restart"/>
          </w:tcPr>
          <w:p>
            <w:pPr>
              <w:pStyle w:val="61"/>
              <w:spacing w:before="8"/>
              <w:jc w:val="left"/>
              <w:rPr>
                <w:rFonts w:ascii="黑体"/>
              </w:rPr>
            </w:pPr>
          </w:p>
          <w:p>
            <w:pPr>
              <w:pStyle w:val="61"/>
              <w:ind w:left="764"/>
              <w:jc w:val="left"/>
              <w:rPr>
                <w:b/>
              </w:rPr>
            </w:pPr>
            <w:r>
              <w:rPr>
                <w:b/>
              </w:rPr>
              <w:t>监测项目</w:t>
            </w:r>
          </w:p>
        </w:tc>
        <w:tc>
          <w:tcPr>
            <w:tcW w:w="2099" w:type="dxa"/>
          </w:tcPr>
          <w:p>
            <w:pPr>
              <w:pStyle w:val="61"/>
              <w:spacing w:before="135"/>
              <w:ind w:left="310" w:right="298"/>
              <w:rPr>
                <w:b/>
              </w:rPr>
            </w:pPr>
            <w:r>
              <w:rPr>
                <w:b/>
              </w:rPr>
              <w:t>采样深度（</w:t>
            </w:r>
            <w:r>
              <w:rPr>
                <w:rFonts w:ascii="Times New Roman" w:eastAsia="Times New Roman"/>
                <w:b/>
              </w:rPr>
              <w:t>m</w:t>
            </w:r>
            <w:r>
              <w:rPr>
                <w:b/>
              </w:rPr>
              <w:t>）</w:t>
            </w:r>
          </w:p>
        </w:tc>
        <w:tc>
          <w:tcPr>
            <w:tcW w:w="1732" w:type="dxa"/>
          </w:tcPr>
          <w:p>
            <w:pPr>
              <w:pStyle w:val="61"/>
              <w:spacing w:before="1"/>
              <w:ind w:left="316" w:right="309"/>
              <w:rPr>
                <w:b/>
              </w:rPr>
            </w:pPr>
            <w:r>
              <w:rPr>
                <w:b/>
              </w:rPr>
              <w:t>样品</w:t>
            </w:r>
          </w:p>
          <w:p>
            <w:pPr>
              <w:pStyle w:val="61"/>
              <w:spacing w:before="2" w:line="253" w:lineRule="exact"/>
              <w:ind w:left="318" w:right="309"/>
              <w:rPr>
                <w:b/>
              </w:rPr>
            </w:pPr>
            <w:r>
              <w:rPr>
                <w:b/>
              </w:rPr>
              <w:t>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146" w:type="dxa"/>
            <w:vMerge w:val="continue"/>
            <w:tcBorders>
              <w:top w:val="nil"/>
            </w:tcBorders>
          </w:tcPr>
          <w:p>
            <w:pPr>
              <w:rPr>
                <w:sz w:val="2"/>
                <w:szCs w:val="2"/>
              </w:rPr>
            </w:pPr>
          </w:p>
        </w:tc>
        <w:tc>
          <w:tcPr>
            <w:tcW w:w="1173" w:type="dxa"/>
            <w:vMerge w:val="continue"/>
            <w:tcBorders>
              <w:top w:val="nil"/>
            </w:tcBorders>
          </w:tcPr>
          <w:p>
            <w:pPr>
              <w:rPr>
                <w:sz w:val="2"/>
                <w:szCs w:val="2"/>
              </w:rPr>
            </w:pPr>
          </w:p>
        </w:tc>
        <w:tc>
          <w:tcPr>
            <w:tcW w:w="2372" w:type="dxa"/>
            <w:vMerge w:val="continue"/>
            <w:tcBorders>
              <w:top w:val="nil"/>
            </w:tcBorders>
          </w:tcPr>
          <w:p>
            <w:pPr>
              <w:rPr>
                <w:sz w:val="2"/>
                <w:szCs w:val="2"/>
              </w:rPr>
            </w:pPr>
          </w:p>
        </w:tc>
        <w:tc>
          <w:tcPr>
            <w:tcW w:w="2099" w:type="dxa"/>
          </w:tcPr>
          <w:p>
            <w:pPr>
              <w:pStyle w:val="61"/>
              <w:spacing w:line="251" w:lineRule="exact"/>
              <w:ind w:left="310" w:right="298"/>
              <w:rPr>
                <w:b/>
              </w:rPr>
            </w:pPr>
            <w:r>
              <w:rPr>
                <w:b/>
              </w:rPr>
              <w:t>土壤样品</w:t>
            </w:r>
          </w:p>
        </w:tc>
        <w:tc>
          <w:tcPr>
            <w:tcW w:w="1732" w:type="dxa"/>
          </w:tcPr>
          <w:p>
            <w:pPr>
              <w:pStyle w:val="61"/>
              <w:spacing w:line="251" w:lineRule="exact"/>
              <w:ind w:left="318" w:right="306"/>
              <w:rPr>
                <w:b/>
              </w:rPr>
            </w:pPr>
            <w:r>
              <w:rPr>
                <w:b/>
              </w:rPr>
              <w:t>土壤样品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99"/>
              <w:ind w:right="133"/>
              <w:jc w:val="right"/>
              <w:rPr>
                <w:sz w:val="18"/>
              </w:rPr>
            </w:pPr>
            <w:r>
              <w:rPr>
                <w:sz w:val="18"/>
              </w:rPr>
              <w:t>▉</w:t>
            </w:r>
            <w:r>
              <w:rPr>
                <w:rFonts w:ascii="Times New Roman" w:hAnsi="Times New Roman" w:eastAsia="Times New Roman"/>
                <w:sz w:val="18"/>
              </w:rPr>
              <w:t xml:space="preserve">1 </w:t>
            </w:r>
            <w:r>
              <w:rPr>
                <w:sz w:val="18"/>
              </w:rPr>
              <w:t>背景点</w:t>
            </w:r>
          </w:p>
        </w:tc>
        <w:tc>
          <w:tcPr>
            <w:tcW w:w="1173" w:type="dxa"/>
          </w:tcPr>
          <w:p>
            <w:pPr>
              <w:pStyle w:val="61"/>
              <w:spacing w:before="78"/>
              <w:ind w:left="354" w:right="349"/>
            </w:pPr>
            <w:r>
              <w:t>土壤</w:t>
            </w:r>
          </w:p>
        </w:tc>
        <w:tc>
          <w:tcPr>
            <w:tcW w:w="2372" w:type="dxa"/>
            <w:vMerge w:val="restart"/>
          </w:tcPr>
          <w:p>
            <w:pPr>
              <w:pStyle w:val="61"/>
              <w:spacing w:before="2" w:line="364" w:lineRule="auto"/>
              <w:ind w:left="107" w:right="-15"/>
              <w:jc w:val="left"/>
            </w:pPr>
            <w:r>
              <w:rPr>
                <w:rFonts w:ascii="Times New Roman" w:eastAsia="Times New Roman"/>
                <w:b/>
              </w:rPr>
              <w:t xml:space="preserve">A1 </w:t>
            </w:r>
            <w:r>
              <w:rPr>
                <w:b/>
              </w:rPr>
              <w:t>类</w:t>
            </w:r>
            <w:r>
              <w:rPr>
                <w:rFonts w:ascii="Times New Roman" w:eastAsia="Times New Roman"/>
                <w:b/>
              </w:rPr>
              <w:t>-</w:t>
            </w:r>
            <w:r>
              <w:rPr>
                <w:b/>
                <w:spacing w:val="-13"/>
              </w:rPr>
              <w:t xml:space="preserve">重金属 </w:t>
            </w:r>
            <w:r>
              <w:rPr>
                <w:rFonts w:ascii="Times New Roman" w:eastAsia="Times New Roman"/>
                <w:b/>
              </w:rPr>
              <w:t xml:space="preserve">8 </w:t>
            </w:r>
            <w:r>
              <w:rPr>
                <w:b/>
                <w:spacing w:val="-5"/>
              </w:rPr>
              <w:t>种：</w:t>
            </w:r>
            <w:r>
              <w:rPr>
                <w:spacing w:val="-8"/>
              </w:rPr>
              <w:t>镉、</w:t>
            </w:r>
            <w:r>
              <w:rPr>
                <w:spacing w:val="6"/>
              </w:rPr>
              <w:t>铅、铬、铜、锌、镍、汞、砷；</w:t>
            </w:r>
          </w:p>
          <w:p>
            <w:pPr>
              <w:pStyle w:val="61"/>
              <w:spacing w:line="364" w:lineRule="auto"/>
              <w:ind w:left="107" w:right="89"/>
              <w:jc w:val="both"/>
            </w:pPr>
            <w:r>
              <w:rPr>
                <w:rFonts w:ascii="Times New Roman" w:eastAsia="Times New Roman"/>
                <w:b/>
              </w:rPr>
              <w:t xml:space="preserve">A2 </w:t>
            </w:r>
            <w:r>
              <w:rPr>
                <w:b/>
              </w:rPr>
              <w:t>类</w:t>
            </w:r>
            <w:r>
              <w:rPr>
                <w:rFonts w:ascii="Times New Roman" w:eastAsia="Times New Roman"/>
                <w:b/>
              </w:rPr>
              <w:t>-</w:t>
            </w:r>
            <w:r>
              <w:rPr>
                <w:b/>
              </w:rPr>
              <w:t xml:space="preserve">重金属与元素 </w:t>
            </w:r>
            <w:r>
              <w:rPr>
                <w:rFonts w:ascii="Times New Roman" w:eastAsia="Times New Roman"/>
                <w:b/>
              </w:rPr>
              <w:t xml:space="preserve">8 </w:t>
            </w:r>
            <w:r>
              <w:rPr>
                <w:b/>
              </w:rPr>
              <w:t>种：</w:t>
            </w:r>
            <w:r>
              <w:t>锰、钴、硒、钒、锑、铊、铍、钼；</w:t>
            </w:r>
          </w:p>
          <w:p>
            <w:pPr>
              <w:pStyle w:val="61"/>
              <w:spacing w:line="364" w:lineRule="auto"/>
              <w:ind w:left="107" w:right="90"/>
              <w:jc w:val="both"/>
            </w:pPr>
            <w:r>
              <w:rPr>
                <w:rFonts w:ascii="Times New Roman" w:eastAsia="Times New Roman"/>
                <w:b/>
              </w:rPr>
              <w:t xml:space="preserve">A3 </w:t>
            </w:r>
            <w:r>
              <w:rPr>
                <w:b/>
              </w:rPr>
              <w:t>类</w:t>
            </w:r>
            <w:r>
              <w:rPr>
                <w:rFonts w:ascii="Times New Roman" w:eastAsia="Times New Roman"/>
                <w:b/>
              </w:rPr>
              <w:t>-</w:t>
            </w:r>
            <w:r>
              <w:rPr>
                <w:b/>
              </w:rPr>
              <w:t xml:space="preserve">无机物 </w:t>
            </w:r>
            <w:r>
              <w:rPr>
                <w:rFonts w:ascii="Times New Roman" w:eastAsia="Times New Roman"/>
                <w:b/>
              </w:rPr>
              <w:t xml:space="preserve">2 </w:t>
            </w:r>
            <w:r>
              <w:rPr>
                <w:b/>
              </w:rPr>
              <w:t>种：</w:t>
            </w:r>
            <w:r>
              <w:t>氰化物、氟化物</w:t>
            </w:r>
          </w:p>
          <w:p>
            <w:pPr>
              <w:pStyle w:val="61"/>
              <w:spacing w:line="267" w:lineRule="exact"/>
              <w:ind w:left="107"/>
              <w:jc w:val="both"/>
            </w:pPr>
            <w:r>
              <w:rPr>
                <w:rFonts w:ascii="Times New Roman" w:eastAsia="Times New Roman"/>
                <w:b/>
              </w:rPr>
              <w:t xml:space="preserve">C3 </w:t>
            </w:r>
            <w:r>
              <w:rPr>
                <w:b/>
              </w:rPr>
              <w:t>类：</w:t>
            </w:r>
            <w:r>
              <w:t>石油烃</w:t>
            </w:r>
          </w:p>
          <w:p>
            <w:pPr>
              <w:pStyle w:val="61"/>
              <w:spacing w:before="135" w:line="254" w:lineRule="exact"/>
              <w:ind w:left="107"/>
              <w:jc w:val="both"/>
              <w:rPr>
                <w:rFonts w:ascii="Times New Roman" w:eastAsia="Times New Roman"/>
              </w:rPr>
            </w:pPr>
            <w:r>
              <w:rPr>
                <w:rFonts w:ascii="Times New Roman" w:eastAsia="Times New Roman"/>
              </w:rPr>
              <w:t>D</w:t>
            </w:r>
            <w:r>
              <w:rPr>
                <w:rFonts w:ascii="Times New Roman" w:eastAsia="Times New Roman"/>
                <w:b/>
              </w:rPr>
              <w:t xml:space="preserve">1 </w:t>
            </w:r>
            <w:r>
              <w:rPr>
                <w:b/>
              </w:rPr>
              <w:t>类</w:t>
            </w:r>
            <w:r>
              <w:rPr>
                <w:rFonts w:ascii="Times New Roman" w:eastAsia="Times New Roman"/>
                <w:b/>
              </w:rPr>
              <w:t>-</w:t>
            </w:r>
            <w:r>
              <w:rPr>
                <w:b/>
              </w:rPr>
              <w:t xml:space="preserve">土壤 </w:t>
            </w:r>
            <w:r>
              <w:rPr>
                <w:rFonts w:ascii="Times New Roman" w:eastAsia="Times New Roman"/>
                <w:b/>
              </w:rPr>
              <w:t>pH</w:t>
            </w:r>
            <w:r>
              <w:rPr>
                <w:b/>
              </w:rPr>
              <w:t>：</w:t>
            </w:r>
            <w:r>
              <w:rPr>
                <w:rFonts w:ascii="Times New Roman" w:eastAsia="Times New Roman"/>
              </w:rPr>
              <w:t>pH</w:t>
            </w:r>
          </w:p>
        </w:tc>
        <w:tc>
          <w:tcPr>
            <w:tcW w:w="2099" w:type="dxa"/>
          </w:tcPr>
          <w:p>
            <w:pPr>
              <w:pStyle w:val="61"/>
              <w:spacing w:before="95"/>
              <w:ind w:left="307" w:right="298"/>
              <w:rPr>
                <w:rFonts w:ascii="Times New Roman"/>
              </w:rPr>
            </w:pPr>
            <w:r>
              <w:rPr>
                <w:rFonts w:ascii="Times New Roman"/>
              </w:rPr>
              <w:t>0.2m</w:t>
            </w:r>
          </w:p>
        </w:tc>
        <w:tc>
          <w:tcPr>
            <w:tcW w:w="1732" w:type="dxa"/>
          </w:tcPr>
          <w:p>
            <w:pPr>
              <w:pStyle w:val="61"/>
              <w:spacing w:before="95"/>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100"/>
              <w:ind w:right="133"/>
              <w:jc w:val="right"/>
              <w:rPr>
                <w:sz w:val="18"/>
              </w:rPr>
            </w:pPr>
            <w:r>
              <w:rPr>
                <w:sz w:val="18"/>
              </w:rPr>
              <w:t>▉</w:t>
            </w:r>
            <w:r>
              <w:rPr>
                <w:rFonts w:ascii="Times New Roman" w:hAnsi="Times New Roman" w:eastAsia="Times New Roman"/>
                <w:sz w:val="18"/>
              </w:rPr>
              <w:t xml:space="preserve">2 </w:t>
            </w:r>
            <w:r>
              <w:rPr>
                <w:sz w:val="18"/>
              </w:rPr>
              <w:t>监测点</w:t>
            </w:r>
          </w:p>
        </w:tc>
        <w:tc>
          <w:tcPr>
            <w:tcW w:w="1173" w:type="dxa"/>
          </w:tcPr>
          <w:p>
            <w:pPr>
              <w:pStyle w:val="61"/>
              <w:spacing w:before="80"/>
              <w:ind w:left="354" w:right="349"/>
            </w:pPr>
            <w:r>
              <w:t>土壤</w:t>
            </w:r>
          </w:p>
        </w:tc>
        <w:tc>
          <w:tcPr>
            <w:tcW w:w="2372" w:type="dxa"/>
            <w:vMerge w:val="continue"/>
            <w:tcBorders>
              <w:top w:val="nil"/>
            </w:tcBorders>
          </w:tcPr>
          <w:p>
            <w:pPr>
              <w:rPr>
                <w:sz w:val="2"/>
                <w:szCs w:val="2"/>
              </w:rPr>
            </w:pPr>
          </w:p>
        </w:tc>
        <w:tc>
          <w:tcPr>
            <w:tcW w:w="2099" w:type="dxa"/>
          </w:tcPr>
          <w:p>
            <w:pPr>
              <w:pStyle w:val="61"/>
              <w:spacing w:before="94"/>
              <w:ind w:left="307" w:right="298"/>
              <w:rPr>
                <w:rFonts w:ascii="Times New Roman"/>
              </w:rPr>
            </w:pPr>
            <w:r>
              <w:rPr>
                <w:rFonts w:ascii="Times New Roman"/>
              </w:rPr>
              <w:t>0.2m</w:t>
            </w:r>
          </w:p>
        </w:tc>
        <w:tc>
          <w:tcPr>
            <w:tcW w:w="1732" w:type="dxa"/>
          </w:tcPr>
          <w:p>
            <w:pPr>
              <w:pStyle w:val="61"/>
              <w:spacing w:before="94"/>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100"/>
              <w:ind w:right="133"/>
              <w:jc w:val="right"/>
              <w:rPr>
                <w:sz w:val="18"/>
              </w:rPr>
            </w:pPr>
            <w:r>
              <w:rPr>
                <w:sz w:val="18"/>
              </w:rPr>
              <w:t>▉</w:t>
            </w:r>
            <w:r>
              <w:rPr>
                <w:rFonts w:ascii="Times New Roman" w:hAnsi="Times New Roman" w:eastAsia="Times New Roman"/>
                <w:sz w:val="18"/>
              </w:rPr>
              <w:t xml:space="preserve">3 </w:t>
            </w:r>
            <w:r>
              <w:rPr>
                <w:sz w:val="18"/>
              </w:rPr>
              <w:t>监测点</w:t>
            </w:r>
          </w:p>
        </w:tc>
        <w:tc>
          <w:tcPr>
            <w:tcW w:w="1173" w:type="dxa"/>
          </w:tcPr>
          <w:p>
            <w:pPr>
              <w:pStyle w:val="61"/>
              <w:spacing w:before="79"/>
              <w:ind w:left="354" w:right="349"/>
            </w:pPr>
            <w:r>
              <w:t>土壤</w:t>
            </w:r>
          </w:p>
        </w:tc>
        <w:tc>
          <w:tcPr>
            <w:tcW w:w="2372" w:type="dxa"/>
            <w:vMerge w:val="continue"/>
            <w:tcBorders>
              <w:top w:val="nil"/>
            </w:tcBorders>
          </w:tcPr>
          <w:p>
            <w:pPr>
              <w:rPr>
                <w:sz w:val="2"/>
                <w:szCs w:val="2"/>
              </w:rPr>
            </w:pPr>
          </w:p>
        </w:tc>
        <w:tc>
          <w:tcPr>
            <w:tcW w:w="2099" w:type="dxa"/>
          </w:tcPr>
          <w:p>
            <w:pPr>
              <w:pStyle w:val="61"/>
              <w:spacing w:before="93"/>
              <w:ind w:left="307" w:right="298"/>
              <w:rPr>
                <w:rFonts w:ascii="Times New Roman"/>
              </w:rPr>
            </w:pPr>
            <w:r>
              <w:rPr>
                <w:rFonts w:ascii="Times New Roman"/>
              </w:rPr>
              <w:t>0.2m</w:t>
            </w:r>
          </w:p>
        </w:tc>
        <w:tc>
          <w:tcPr>
            <w:tcW w:w="1732" w:type="dxa"/>
          </w:tcPr>
          <w:p>
            <w:pPr>
              <w:pStyle w:val="61"/>
              <w:spacing w:before="93"/>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99"/>
              <w:ind w:right="133"/>
              <w:jc w:val="right"/>
              <w:rPr>
                <w:sz w:val="18"/>
              </w:rPr>
            </w:pPr>
            <w:r>
              <w:rPr>
                <w:sz w:val="18"/>
              </w:rPr>
              <w:t>▉</w:t>
            </w:r>
            <w:r>
              <w:rPr>
                <w:rFonts w:ascii="Times New Roman" w:hAnsi="Times New Roman" w:eastAsia="Times New Roman"/>
                <w:sz w:val="18"/>
              </w:rPr>
              <w:t xml:space="preserve">4 </w:t>
            </w:r>
            <w:r>
              <w:rPr>
                <w:sz w:val="18"/>
              </w:rPr>
              <w:t>监测点</w:t>
            </w:r>
          </w:p>
        </w:tc>
        <w:tc>
          <w:tcPr>
            <w:tcW w:w="1173" w:type="dxa"/>
          </w:tcPr>
          <w:p>
            <w:pPr>
              <w:pStyle w:val="61"/>
              <w:spacing w:before="78"/>
              <w:ind w:left="354" w:right="349"/>
            </w:pPr>
            <w:r>
              <w:t>土壤</w:t>
            </w:r>
          </w:p>
        </w:tc>
        <w:tc>
          <w:tcPr>
            <w:tcW w:w="2372" w:type="dxa"/>
            <w:vMerge w:val="continue"/>
            <w:tcBorders>
              <w:top w:val="nil"/>
            </w:tcBorders>
          </w:tcPr>
          <w:p>
            <w:pPr>
              <w:rPr>
                <w:sz w:val="2"/>
                <w:szCs w:val="2"/>
              </w:rPr>
            </w:pPr>
          </w:p>
        </w:tc>
        <w:tc>
          <w:tcPr>
            <w:tcW w:w="2099" w:type="dxa"/>
          </w:tcPr>
          <w:p>
            <w:pPr>
              <w:pStyle w:val="61"/>
              <w:spacing w:before="95"/>
              <w:ind w:left="307" w:right="298"/>
              <w:rPr>
                <w:rFonts w:ascii="Times New Roman"/>
              </w:rPr>
            </w:pPr>
            <w:r>
              <w:rPr>
                <w:rFonts w:ascii="Times New Roman"/>
              </w:rPr>
              <w:t>0.2m</w:t>
            </w:r>
          </w:p>
        </w:tc>
        <w:tc>
          <w:tcPr>
            <w:tcW w:w="1732" w:type="dxa"/>
          </w:tcPr>
          <w:p>
            <w:pPr>
              <w:pStyle w:val="61"/>
              <w:spacing w:before="95"/>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100"/>
              <w:ind w:right="133"/>
              <w:jc w:val="right"/>
              <w:rPr>
                <w:sz w:val="18"/>
              </w:rPr>
            </w:pPr>
            <w:r>
              <w:rPr>
                <w:sz w:val="18"/>
              </w:rPr>
              <w:t>▉</w:t>
            </w:r>
            <w:r>
              <w:rPr>
                <w:rFonts w:ascii="Times New Roman" w:hAnsi="Times New Roman" w:eastAsia="Times New Roman"/>
                <w:sz w:val="18"/>
              </w:rPr>
              <w:t xml:space="preserve">5 </w:t>
            </w:r>
            <w:r>
              <w:rPr>
                <w:sz w:val="18"/>
              </w:rPr>
              <w:t>监测点</w:t>
            </w:r>
          </w:p>
        </w:tc>
        <w:tc>
          <w:tcPr>
            <w:tcW w:w="1173" w:type="dxa"/>
          </w:tcPr>
          <w:p>
            <w:pPr>
              <w:pStyle w:val="61"/>
              <w:spacing w:before="80"/>
              <w:ind w:left="354" w:right="349"/>
            </w:pPr>
            <w:r>
              <w:t>土壤</w:t>
            </w:r>
          </w:p>
        </w:tc>
        <w:tc>
          <w:tcPr>
            <w:tcW w:w="2372" w:type="dxa"/>
            <w:vMerge w:val="continue"/>
            <w:tcBorders>
              <w:top w:val="nil"/>
            </w:tcBorders>
          </w:tcPr>
          <w:p>
            <w:pPr>
              <w:rPr>
                <w:sz w:val="2"/>
                <w:szCs w:val="2"/>
              </w:rPr>
            </w:pPr>
          </w:p>
        </w:tc>
        <w:tc>
          <w:tcPr>
            <w:tcW w:w="2099" w:type="dxa"/>
          </w:tcPr>
          <w:p>
            <w:pPr>
              <w:pStyle w:val="61"/>
              <w:spacing w:before="94"/>
              <w:ind w:left="307" w:right="298"/>
              <w:rPr>
                <w:rFonts w:ascii="Times New Roman"/>
              </w:rPr>
            </w:pPr>
            <w:r>
              <w:rPr>
                <w:rFonts w:ascii="Times New Roman"/>
              </w:rPr>
              <w:t>0.2m</w:t>
            </w:r>
          </w:p>
        </w:tc>
        <w:tc>
          <w:tcPr>
            <w:tcW w:w="1732" w:type="dxa"/>
          </w:tcPr>
          <w:p>
            <w:pPr>
              <w:pStyle w:val="61"/>
              <w:spacing w:before="94"/>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99"/>
              <w:ind w:right="133"/>
              <w:jc w:val="right"/>
              <w:rPr>
                <w:sz w:val="18"/>
              </w:rPr>
            </w:pPr>
            <w:r>
              <w:rPr>
                <w:sz w:val="18"/>
              </w:rPr>
              <w:t>▉</w:t>
            </w:r>
            <w:r>
              <w:rPr>
                <w:rFonts w:ascii="Times New Roman" w:hAnsi="Times New Roman" w:eastAsia="Times New Roman"/>
                <w:sz w:val="18"/>
              </w:rPr>
              <w:t xml:space="preserve">6 </w:t>
            </w:r>
            <w:r>
              <w:rPr>
                <w:sz w:val="18"/>
              </w:rPr>
              <w:t>监测点</w:t>
            </w:r>
          </w:p>
        </w:tc>
        <w:tc>
          <w:tcPr>
            <w:tcW w:w="1173" w:type="dxa"/>
          </w:tcPr>
          <w:p>
            <w:pPr>
              <w:pStyle w:val="61"/>
              <w:spacing w:before="79"/>
              <w:ind w:left="354" w:right="349"/>
            </w:pPr>
            <w:r>
              <w:t>土壤</w:t>
            </w:r>
          </w:p>
        </w:tc>
        <w:tc>
          <w:tcPr>
            <w:tcW w:w="2372" w:type="dxa"/>
            <w:vMerge w:val="continue"/>
            <w:tcBorders>
              <w:top w:val="nil"/>
            </w:tcBorders>
          </w:tcPr>
          <w:p>
            <w:pPr>
              <w:rPr>
                <w:sz w:val="2"/>
                <w:szCs w:val="2"/>
              </w:rPr>
            </w:pPr>
          </w:p>
        </w:tc>
        <w:tc>
          <w:tcPr>
            <w:tcW w:w="2099" w:type="dxa"/>
          </w:tcPr>
          <w:p>
            <w:pPr>
              <w:pStyle w:val="61"/>
              <w:spacing w:before="93"/>
              <w:ind w:left="307" w:right="298"/>
              <w:rPr>
                <w:rFonts w:ascii="Times New Roman"/>
              </w:rPr>
            </w:pPr>
            <w:r>
              <w:rPr>
                <w:rFonts w:ascii="Times New Roman"/>
              </w:rPr>
              <w:t>0.2m</w:t>
            </w:r>
          </w:p>
        </w:tc>
        <w:tc>
          <w:tcPr>
            <w:tcW w:w="1732" w:type="dxa"/>
          </w:tcPr>
          <w:p>
            <w:pPr>
              <w:pStyle w:val="61"/>
              <w:spacing w:before="93"/>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99"/>
              <w:ind w:right="133"/>
              <w:jc w:val="right"/>
              <w:rPr>
                <w:sz w:val="18"/>
              </w:rPr>
            </w:pPr>
            <w:r>
              <w:rPr>
                <w:sz w:val="18"/>
              </w:rPr>
              <w:t>▉</w:t>
            </w:r>
            <w:r>
              <w:rPr>
                <w:rFonts w:ascii="Times New Roman" w:hAnsi="Times New Roman" w:eastAsia="Times New Roman"/>
                <w:sz w:val="18"/>
              </w:rPr>
              <w:t xml:space="preserve">7 </w:t>
            </w:r>
            <w:r>
              <w:rPr>
                <w:sz w:val="18"/>
              </w:rPr>
              <w:t>监测点</w:t>
            </w:r>
          </w:p>
        </w:tc>
        <w:tc>
          <w:tcPr>
            <w:tcW w:w="1173" w:type="dxa"/>
          </w:tcPr>
          <w:p>
            <w:pPr>
              <w:pStyle w:val="61"/>
              <w:spacing w:before="78"/>
              <w:ind w:left="354" w:right="349"/>
            </w:pPr>
            <w:r>
              <w:t>土壤</w:t>
            </w:r>
          </w:p>
        </w:tc>
        <w:tc>
          <w:tcPr>
            <w:tcW w:w="2372" w:type="dxa"/>
            <w:vMerge w:val="continue"/>
            <w:tcBorders>
              <w:top w:val="nil"/>
            </w:tcBorders>
          </w:tcPr>
          <w:p>
            <w:pPr>
              <w:rPr>
                <w:sz w:val="2"/>
                <w:szCs w:val="2"/>
              </w:rPr>
            </w:pPr>
          </w:p>
        </w:tc>
        <w:tc>
          <w:tcPr>
            <w:tcW w:w="2099" w:type="dxa"/>
          </w:tcPr>
          <w:p>
            <w:pPr>
              <w:pStyle w:val="61"/>
              <w:spacing w:before="95"/>
              <w:ind w:left="307" w:right="298"/>
              <w:rPr>
                <w:rFonts w:ascii="Times New Roman"/>
              </w:rPr>
            </w:pPr>
            <w:r>
              <w:rPr>
                <w:rFonts w:ascii="Times New Roman"/>
              </w:rPr>
              <w:t>0.2m</w:t>
            </w:r>
          </w:p>
        </w:tc>
        <w:tc>
          <w:tcPr>
            <w:tcW w:w="1732" w:type="dxa"/>
          </w:tcPr>
          <w:p>
            <w:pPr>
              <w:pStyle w:val="61"/>
              <w:spacing w:before="95"/>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100"/>
              <w:ind w:right="133"/>
              <w:jc w:val="right"/>
              <w:rPr>
                <w:sz w:val="18"/>
              </w:rPr>
            </w:pPr>
            <w:r>
              <w:rPr>
                <w:sz w:val="18"/>
              </w:rPr>
              <w:t>▉</w:t>
            </w:r>
            <w:r>
              <w:rPr>
                <w:rFonts w:ascii="Times New Roman" w:hAnsi="Times New Roman" w:eastAsia="Times New Roman"/>
                <w:sz w:val="18"/>
              </w:rPr>
              <w:t xml:space="preserve">8 </w:t>
            </w:r>
            <w:r>
              <w:rPr>
                <w:sz w:val="18"/>
              </w:rPr>
              <w:t>监测点</w:t>
            </w:r>
          </w:p>
        </w:tc>
        <w:tc>
          <w:tcPr>
            <w:tcW w:w="1173" w:type="dxa"/>
          </w:tcPr>
          <w:p>
            <w:pPr>
              <w:pStyle w:val="61"/>
              <w:spacing w:before="80"/>
              <w:ind w:left="354" w:right="349"/>
            </w:pPr>
            <w:r>
              <w:t>土壤</w:t>
            </w:r>
          </w:p>
        </w:tc>
        <w:tc>
          <w:tcPr>
            <w:tcW w:w="2372" w:type="dxa"/>
            <w:vMerge w:val="continue"/>
            <w:tcBorders>
              <w:top w:val="nil"/>
            </w:tcBorders>
          </w:tcPr>
          <w:p>
            <w:pPr>
              <w:rPr>
                <w:sz w:val="2"/>
                <w:szCs w:val="2"/>
              </w:rPr>
            </w:pPr>
          </w:p>
        </w:tc>
        <w:tc>
          <w:tcPr>
            <w:tcW w:w="2099" w:type="dxa"/>
          </w:tcPr>
          <w:p>
            <w:pPr>
              <w:pStyle w:val="61"/>
              <w:spacing w:before="94"/>
              <w:ind w:left="307" w:right="298"/>
              <w:rPr>
                <w:rFonts w:ascii="Times New Roman"/>
              </w:rPr>
            </w:pPr>
            <w:r>
              <w:rPr>
                <w:rFonts w:ascii="Times New Roman"/>
              </w:rPr>
              <w:t>0.2m</w:t>
            </w:r>
          </w:p>
        </w:tc>
        <w:tc>
          <w:tcPr>
            <w:tcW w:w="1732" w:type="dxa"/>
          </w:tcPr>
          <w:p>
            <w:pPr>
              <w:pStyle w:val="61"/>
              <w:spacing w:before="94"/>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99"/>
              <w:ind w:right="133"/>
              <w:jc w:val="right"/>
              <w:rPr>
                <w:sz w:val="18"/>
              </w:rPr>
            </w:pPr>
            <w:r>
              <w:rPr>
                <w:sz w:val="18"/>
              </w:rPr>
              <w:t>▉</w:t>
            </w:r>
            <w:r>
              <w:rPr>
                <w:rFonts w:ascii="Times New Roman" w:hAnsi="Times New Roman" w:eastAsia="Times New Roman"/>
                <w:sz w:val="18"/>
              </w:rPr>
              <w:t xml:space="preserve">9 </w:t>
            </w:r>
            <w:r>
              <w:rPr>
                <w:sz w:val="18"/>
              </w:rPr>
              <w:t>监测点</w:t>
            </w:r>
          </w:p>
        </w:tc>
        <w:tc>
          <w:tcPr>
            <w:tcW w:w="1173" w:type="dxa"/>
          </w:tcPr>
          <w:p>
            <w:pPr>
              <w:pStyle w:val="61"/>
              <w:spacing w:before="79"/>
              <w:ind w:left="354" w:right="349"/>
            </w:pPr>
            <w:r>
              <w:t>土壤</w:t>
            </w:r>
          </w:p>
        </w:tc>
        <w:tc>
          <w:tcPr>
            <w:tcW w:w="2372" w:type="dxa"/>
            <w:vMerge w:val="continue"/>
            <w:tcBorders>
              <w:top w:val="nil"/>
            </w:tcBorders>
          </w:tcPr>
          <w:p>
            <w:pPr>
              <w:rPr>
                <w:sz w:val="2"/>
                <w:szCs w:val="2"/>
              </w:rPr>
            </w:pPr>
          </w:p>
        </w:tc>
        <w:tc>
          <w:tcPr>
            <w:tcW w:w="2099" w:type="dxa"/>
          </w:tcPr>
          <w:p>
            <w:pPr>
              <w:pStyle w:val="61"/>
              <w:spacing w:before="93"/>
              <w:ind w:left="307" w:right="298"/>
              <w:rPr>
                <w:rFonts w:ascii="Times New Roman"/>
              </w:rPr>
            </w:pPr>
            <w:r>
              <w:rPr>
                <w:rFonts w:ascii="Times New Roman"/>
              </w:rPr>
              <w:t>0.2m</w:t>
            </w:r>
          </w:p>
        </w:tc>
        <w:tc>
          <w:tcPr>
            <w:tcW w:w="1732" w:type="dxa"/>
          </w:tcPr>
          <w:p>
            <w:pPr>
              <w:pStyle w:val="61"/>
              <w:spacing w:before="93"/>
              <w:ind w:left="8"/>
              <w:rPr>
                <w:rFonts w:ascii="Times New Roman"/>
              </w:rPr>
            </w:pPr>
            <w:r>
              <w:rPr>
                <w:rFonts w:ascii="Times New Roman"/>
                <w:w w:val="99"/>
              </w:rPr>
              <w:t>1</w:t>
            </w:r>
          </w:p>
        </w:tc>
      </w:tr>
    </w:tbl>
    <w:p>
      <w:pPr>
        <w:pStyle w:val="5"/>
        <w:rPr>
          <w:rFonts w:hint="default"/>
          <w:lang w:val="en-US" w:eastAsia="zh-CN"/>
        </w:rPr>
        <w:sectPr>
          <w:headerReference r:id="rId4" w:type="default"/>
          <w:footerReference r:id="rId5" w:type="default"/>
          <w:pgSz w:w="11910" w:h="16840"/>
          <w:pgMar w:top="1360" w:right="1560" w:bottom="1040" w:left="1580" w:header="853" w:footer="849" w:gutter="0"/>
          <w:pgNumType w:fmt="decimal" w:start="1"/>
          <w:cols w:space="720" w:num="1"/>
        </w:sectPr>
      </w:pPr>
    </w:p>
    <w:tbl>
      <w:tblPr>
        <w:tblStyle w:val="20"/>
        <w:tblpPr w:leftFromText="180" w:rightFromText="180" w:vertAnchor="text" w:horzAnchor="page" w:tblpX="1586" w:tblpY="305"/>
        <w:tblOverlap w:val="never"/>
        <w:tblW w:w="85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5"/>
        <w:gridCol w:w="861"/>
        <w:gridCol w:w="3611"/>
        <w:gridCol w:w="1463"/>
        <w:gridCol w:w="14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115" w:type="dxa"/>
            <w:vMerge w:val="restart"/>
          </w:tcPr>
          <w:p>
            <w:pPr>
              <w:pStyle w:val="61"/>
              <w:spacing w:before="143" w:line="242" w:lineRule="auto"/>
              <w:ind w:left="347" w:right="335"/>
              <w:jc w:val="left"/>
              <w:rPr>
                <w:b/>
              </w:rPr>
            </w:pPr>
            <w:r>
              <w:rPr>
                <w:b/>
              </w:rPr>
              <w:t>样品编号</w:t>
            </w:r>
          </w:p>
        </w:tc>
        <w:tc>
          <w:tcPr>
            <w:tcW w:w="861" w:type="dxa"/>
            <w:vMerge w:val="restart"/>
          </w:tcPr>
          <w:p>
            <w:pPr>
              <w:pStyle w:val="61"/>
              <w:spacing w:before="143" w:line="242" w:lineRule="auto"/>
              <w:ind w:left="219" w:right="209"/>
              <w:jc w:val="left"/>
              <w:rPr>
                <w:b/>
              </w:rPr>
            </w:pPr>
            <w:r>
              <w:rPr>
                <w:b/>
              </w:rPr>
              <w:t>环境介质</w:t>
            </w:r>
          </w:p>
        </w:tc>
        <w:tc>
          <w:tcPr>
            <w:tcW w:w="3611" w:type="dxa"/>
            <w:vMerge w:val="restart"/>
          </w:tcPr>
          <w:p>
            <w:pPr>
              <w:pStyle w:val="61"/>
              <w:spacing w:before="8"/>
              <w:jc w:val="left"/>
              <w:rPr>
                <w:rFonts w:ascii="黑体"/>
              </w:rPr>
            </w:pPr>
          </w:p>
          <w:p>
            <w:pPr>
              <w:pStyle w:val="61"/>
              <w:ind w:left="1305" w:right="1293"/>
              <w:rPr>
                <w:b/>
              </w:rPr>
            </w:pPr>
            <w:r>
              <w:rPr>
                <w:b/>
              </w:rPr>
              <w:t>监测项目</w:t>
            </w:r>
          </w:p>
        </w:tc>
        <w:tc>
          <w:tcPr>
            <w:tcW w:w="1463" w:type="dxa"/>
          </w:tcPr>
          <w:p>
            <w:pPr>
              <w:pStyle w:val="61"/>
              <w:spacing w:before="135"/>
              <w:ind w:left="56" w:right="44"/>
              <w:rPr>
                <w:b/>
              </w:rPr>
            </w:pPr>
            <w:r>
              <w:rPr>
                <w:b/>
              </w:rPr>
              <w:t>采样深度</w:t>
            </w:r>
          </w:p>
        </w:tc>
        <w:tc>
          <w:tcPr>
            <w:tcW w:w="1470" w:type="dxa"/>
          </w:tcPr>
          <w:p>
            <w:pPr>
              <w:pStyle w:val="61"/>
              <w:spacing w:before="1"/>
              <w:ind w:left="185" w:right="177"/>
              <w:rPr>
                <w:b/>
              </w:rPr>
            </w:pPr>
            <w:r>
              <w:rPr>
                <w:b/>
              </w:rPr>
              <w:t>样品</w:t>
            </w:r>
          </w:p>
          <w:p>
            <w:pPr>
              <w:pStyle w:val="61"/>
              <w:spacing w:before="2" w:line="253" w:lineRule="exact"/>
              <w:ind w:left="187" w:right="177"/>
              <w:rPr>
                <w:b/>
              </w:rPr>
            </w:pPr>
            <w:r>
              <w:rPr>
                <w:b/>
              </w:rPr>
              <w:t>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115" w:type="dxa"/>
            <w:vMerge w:val="continue"/>
            <w:tcBorders>
              <w:top w:val="nil"/>
            </w:tcBorders>
          </w:tcPr>
          <w:p>
            <w:pPr>
              <w:rPr>
                <w:sz w:val="2"/>
                <w:szCs w:val="2"/>
              </w:rPr>
            </w:pPr>
          </w:p>
        </w:tc>
        <w:tc>
          <w:tcPr>
            <w:tcW w:w="861" w:type="dxa"/>
            <w:vMerge w:val="continue"/>
            <w:tcBorders>
              <w:top w:val="nil"/>
            </w:tcBorders>
          </w:tcPr>
          <w:p>
            <w:pPr>
              <w:rPr>
                <w:sz w:val="2"/>
                <w:szCs w:val="2"/>
              </w:rPr>
            </w:pPr>
          </w:p>
        </w:tc>
        <w:tc>
          <w:tcPr>
            <w:tcW w:w="3611" w:type="dxa"/>
            <w:vMerge w:val="continue"/>
            <w:tcBorders>
              <w:top w:val="nil"/>
            </w:tcBorders>
          </w:tcPr>
          <w:p>
            <w:pPr>
              <w:rPr>
                <w:sz w:val="2"/>
                <w:szCs w:val="2"/>
              </w:rPr>
            </w:pPr>
          </w:p>
        </w:tc>
        <w:tc>
          <w:tcPr>
            <w:tcW w:w="1463" w:type="dxa"/>
          </w:tcPr>
          <w:p>
            <w:pPr>
              <w:pStyle w:val="61"/>
              <w:spacing w:line="251" w:lineRule="exact"/>
              <w:ind w:left="56" w:right="46"/>
              <w:rPr>
                <w:b/>
              </w:rPr>
            </w:pPr>
            <w:r>
              <w:rPr>
                <w:b/>
              </w:rPr>
              <w:t>地下水样品</w:t>
            </w:r>
          </w:p>
        </w:tc>
        <w:tc>
          <w:tcPr>
            <w:tcW w:w="1470" w:type="dxa"/>
          </w:tcPr>
          <w:p>
            <w:pPr>
              <w:pStyle w:val="61"/>
              <w:spacing w:line="251" w:lineRule="exact"/>
              <w:ind w:left="187" w:right="177"/>
              <w:rPr>
                <w:b/>
              </w:rPr>
            </w:pPr>
            <w:r>
              <w:rPr>
                <w:b/>
              </w:rPr>
              <w:t>地下水样品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15" w:type="dxa"/>
          </w:tcPr>
          <w:p>
            <w:pPr>
              <w:pStyle w:val="61"/>
              <w:jc w:val="left"/>
              <w:rPr>
                <w:rFonts w:ascii="黑体"/>
                <w:sz w:val="22"/>
              </w:rPr>
            </w:pPr>
          </w:p>
          <w:p>
            <w:pPr>
              <w:pStyle w:val="61"/>
              <w:jc w:val="left"/>
              <w:rPr>
                <w:rFonts w:ascii="黑体"/>
                <w:sz w:val="22"/>
              </w:rPr>
            </w:pPr>
          </w:p>
          <w:p>
            <w:pPr>
              <w:pStyle w:val="61"/>
              <w:spacing w:before="10"/>
              <w:jc w:val="left"/>
              <w:rPr>
                <w:rFonts w:ascii="黑体"/>
                <w:sz w:val="19"/>
              </w:rPr>
            </w:pPr>
          </w:p>
          <w:p>
            <w:pPr>
              <w:pStyle w:val="61"/>
              <w:ind w:right="102"/>
              <w:jc w:val="right"/>
              <w:rPr>
                <w:sz w:val="18"/>
              </w:rPr>
            </w:pPr>
            <w:r>
              <w:t>☆</w:t>
            </w:r>
            <w:r>
              <w:rPr>
                <w:rFonts w:ascii="Times New Roman" w:hAnsi="Times New Roman" w:eastAsia="Times New Roman"/>
                <w:sz w:val="18"/>
              </w:rPr>
              <w:t xml:space="preserve">1 </w:t>
            </w:r>
            <w:r>
              <w:rPr>
                <w:sz w:val="18"/>
              </w:rPr>
              <w:t>监测点</w:t>
            </w:r>
          </w:p>
        </w:tc>
        <w:tc>
          <w:tcPr>
            <w:tcW w:w="861" w:type="dxa"/>
          </w:tcPr>
          <w:p>
            <w:pPr>
              <w:pStyle w:val="61"/>
              <w:jc w:val="left"/>
              <w:rPr>
                <w:rFonts w:ascii="黑体"/>
                <w:sz w:val="20"/>
              </w:rPr>
            </w:pPr>
          </w:p>
          <w:p>
            <w:pPr>
              <w:pStyle w:val="61"/>
              <w:jc w:val="left"/>
              <w:rPr>
                <w:rFonts w:ascii="黑体"/>
                <w:sz w:val="20"/>
              </w:rPr>
            </w:pPr>
          </w:p>
          <w:p>
            <w:pPr>
              <w:pStyle w:val="61"/>
              <w:spacing w:before="10"/>
              <w:jc w:val="left"/>
              <w:rPr>
                <w:rFonts w:ascii="黑体"/>
                <w:sz w:val="23"/>
              </w:rPr>
            </w:pPr>
          </w:p>
          <w:p>
            <w:pPr>
              <w:pStyle w:val="61"/>
              <w:ind w:left="198" w:right="193"/>
            </w:pPr>
            <w:r>
              <w:t>土壤</w:t>
            </w:r>
          </w:p>
        </w:tc>
        <w:tc>
          <w:tcPr>
            <w:tcW w:w="3611" w:type="dxa"/>
            <w:vMerge w:val="restart"/>
          </w:tcPr>
          <w:p>
            <w:pPr>
              <w:pStyle w:val="61"/>
              <w:spacing w:before="2" w:line="364" w:lineRule="auto"/>
              <w:ind w:left="106" w:right="-15"/>
              <w:jc w:val="left"/>
            </w:pPr>
            <w:r>
              <w:rPr>
                <w:spacing w:val="-15"/>
              </w:rPr>
              <w:t>色度、嗅和味、肉眼可见物、浑浊度、</w:t>
            </w:r>
            <w:r>
              <w:rPr>
                <w:rFonts w:ascii="Times New Roman" w:hAnsi="Times New Roman" w:eastAsia="Times New Roman"/>
                <w:spacing w:val="3"/>
              </w:rPr>
              <w:t>pH</w:t>
            </w:r>
            <w:r>
              <w:rPr>
                <w:spacing w:val="4"/>
              </w:rPr>
              <w:t>、溶解性总固体、总硬度、硫酸盐、氯化物、铁、锰、铜、锌、铝、</w:t>
            </w:r>
            <w:r>
              <w:rPr>
                <w:spacing w:val="-7"/>
              </w:rPr>
              <w:t>挥发性酚类、阴离子表面活性剂、耗</w:t>
            </w:r>
            <w:r>
              <w:rPr>
                <w:spacing w:val="-11"/>
              </w:rPr>
              <w:t>氧量、氨氮、硫化物、钠、总大肠菌群、菌落总数、硝酸盐、亚硝酸盐、氰化物、氟化物、碘化物、汞、砷、硒、镉、六价铬、铅、三氯甲烷、四</w:t>
            </w:r>
            <w:r>
              <w:rPr>
                <w:spacing w:val="-12"/>
              </w:rPr>
              <w:t>氯化碳、苯、甲苯、总</w:t>
            </w:r>
            <w:r>
              <w:rPr>
                <w:rFonts w:ascii="Times New Roman" w:hAnsi="Times New Roman" w:eastAsia="Times New Roman"/>
              </w:rPr>
              <w:t>α</w:t>
            </w:r>
            <w:r>
              <w:rPr>
                <w:spacing w:val="-5"/>
              </w:rPr>
              <w:t>放射性、总</w:t>
            </w:r>
            <w:r>
              <w:rPr>
                <w:rFonts w:ascii="Times New Roman" w:hAnsi="Times New Roman" w:eastAsia="Times New Roman"/>
              </w:rPr>
              <w:t xml:space="preserve">β </w:t>
            </w:r>
            <w:r>
              <w:t>放射性；铍、硼、锑、钡、镍、钴、</w:t>
            </w:r>
          </w:p>
          <w:p>
            <w:pPr>
              <w:pStyle w:val="61"/>
              <w:spacing w:line="264" w:lineRule="exact"/>
              <w:ind w:left="106"/>
              <w:jc w:val="left"/>
            </w:pPr>
            <w:r>
              <w:t>银、铊；</w:t>
            </w:r>
          </w:p>
        </w:tc>
        <w:tc>
          <w:tcPr>
            <w:tcW w:w="1463" w:type="dxa"/>
          </w:tcPr>
          <w:p>
            <w:pPr>
              <w:pStyle w:val="61"/>
              <w:jc w:val="left"/>
              <w:rPr>
                <w:rFonts w:ascii="黑体"/>
                <w:sz w:val="22"/>
              </w:rPr>
            </w:pPr>
          </w:p>
          <w:p>
            <w:pPr>
              <w:pStyle w:val="61"/>
              <w:jc w:val="left"/>
              <w:rPr>
                <w:rFonts w:ascii="黑体"/>
                <w:sz w:val="22"/>
              </w:rPr>
            </w:pPr>
          </w:p>
          <w:p>
            <w:pPr>
              <w:pStyle w:val="61"/>
              <w:spacing w:before="10"/>
              <w:jc w:val="left"/>
              <w:rPr>
                <w:rFonts w:ascii="黑体"/>
                <w:sz w:val="19"/>
              </w:rPr>
            </w:pPr>
          </w:p>
          <w:p>
            <w:pPr>
              <w:pStyle w:val="61"/>
              <w:ind w:left="56" w:right="51"/>
            </w:pPr>
            <w:r>
              <w:t xml:space="preserve">水面 </w:t>
            </w:r>
            <w:r>
              <w:rPr>
                <w:rFonts w:ascii="Times New Roman" w:eastAsia="Times New Roman"/>
              </w:rPr>
              <w:t xml:space="preserve">0.5m </w:t>
            </w:r>
            <w:r>
              <w:t>以下</w:t>
            </w:r>
          </w:p>
        </w:tc>
        <w:tc>
          <w:tcPr>
            <w:tcW w:w="1470" w:type="dxa"/>
          </w:tcPr>
          <w:p>
            <w:pPr>
              <w:pStyle w:val="61"/>
              <w:jc w:val="left"/>
              <w:rPr>
                <w:rFonts w:ascii="黑体"/>
                <w:sz w:val="22"/>
              </w:rPr>
            </w:pPr>
          </w:p>
          <w:p>
            <w:pPr>
              <w:pStyle w:val="61"/>
              <w:jc w:val="left"/>
              <w:rPr>
                <w:rFonts w:ascii="黑体"/>
                <w:sz w:val="22"/>
              </w:rPr>
            </w:pPr>
          </w:p>
          <w:p>
            <w:pPr>
              <w:pStyle w:val="61"/>
              <w:spacing w:before="11"/>
              <w:jc w:val="left"/>
              <w:rPr>
                <w:rFonts w:ascii="黑体"/>
                <w:sz w:val="20"/>
              </w:rPr>
            </w:pPr>
          </w:p>
          <w:p>
            <w:pPr>
              <w:pStyle w:val="61"/>
              <w:ind w:left="9"/>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9" w:hRule="atLeast"/>
        </w:trPr>
        <w:tc>
          <w:tcPr>
            <w:tcW w:w="1115" w:type="dxa"/>
          </w:tcPr>
          <w:p>
            <w:pPr>
              <w:pStyle w:val="61"/>
              <w:jc w:val="left"/>
              <w:rPr>
                <w:rFonts w:ascii="黑体"/>
                <w:sz w:val="22"/>
              </w:rPr>
            </w:pPr>
          </w:p>
          <w:p>
            <w:pPr>
              <w:pStyle w:val="61"/>
              <w:jc w:val="left"/>
              <w:rPr>
                <w:rFonts w:ascii="黑体"/>
                <w:sz w:val="22"/>
              </w:rPr>
            </w:pPr>
          </w:p>
          <w:p>
            <w:pPr>
              <w:pStyle w:val="61"/>
              <w:jc w:val="left"/>
              <w:rPr>
                <w:rFonts w:ascii="黑体"/>
                <w:sz w:val="22"/>
              </w:rPr>
            </w:pPr>
          </w:p>
          <w:p>
            <w:pPr>
              <w:pStyle w:val="61"/>
              <w:jc w:val="left"/>
              <w:rPr>
                <w:rFonts w:ascii="黑体"/>
                <w:sz w:val="24"/>
              </w:rPr>
            </w:pPr>
          </w:p>
          <w:p>
            <w:pPr>
              <w:pStyle w:val="61"/>
              <w:spacing w:before="1"/>
              <w:ind w:right="102"/>
              <w:jc w:val="right"/>
              <w:rPr>
                <w:sz w:val="18"/>
              </w:rPr>
            </w:pPr>
            <w:r>
              <w:t>☆</w:t>
            </w:r>
            <w:r>
              <w:rPr>
                <w:rFonts w:ascii="Times New Roman" w:hAnsi="Times New Roman" w:eastAsia="Times New Roman"/>
                <w:sz w:val="18"/>
              </w:rPr>
              <w:t xml:space="preserve">2 </w:t>
            </w:r>
            <w:r>
              <w:rPr>
                <w:sz w:val="18"/>
              </w:rPr>
              <w:t>监测点</w:t>
            </w:r>
          </w:p>
        </w:tc>
        <w:tc>
          <w:tcPr>
            <w:tcW w:w="861" w:type="dxa"/>
          </w:tcPr>
          <w:p>
            <w:pPr>
              <w:pStyle w:val="61"/>
              <w:jc w:val="left"/>
              <w:rPr>
                <w:rFonts w:ascii="黑体"/>
                <w:sz w:val="20"/>
              </w:rPr>
            </w:pPr>
          </w:p>
          <w:p>
            <w:pPr>
              <w:pStyle w:val="61"/>
              <w:jc w:val="left"/>
              <w:rPr>
                <w:rFonts w:ascii="黑体"/>
                <w:sz w:val="20"/>
              </w:rPr>
            </w:pPr>
          </w:p>
          <w:p>
            <w:pPr>
              <w:pStyle w:val="61"/>
              <w:jc w:val="left"/>
              <w:rPr>
                <w:rFonts w:ascii="黑体"/>
                <w:sz w:val="20"/>
              </w:rPr>
            </w:pPr>
          </w:p>
          <w:p>
            <w:pPr>
              <w:pStyle w:val="61"/>
              <w:jc w:val="left"/>
              <w:rPr>
                <w:rFonts w:ascii="黑体"/>
                <w:sz w:val="20"/>
              </w:rPr>
            </w:pPr>
          </w:p>
          <w:p>
            <w:pPr>
              <w:pStyle w:val="61"/>
              <w:spacing w:before="129"/>
              <w:ind w:left="198" w:right="193"/>
            </w:pPr>
            <w:r>
              <w:t>土壤</w:t>
            </w:r>
          </w:p>
        </w:tc>
        <w:tc>
          <w:tcPr>
            <w:tcW w:w="3611" w:type="dxa"/>
            <w:vMerge w:val="continue"/>
            <w:tcBorders>
              <w:top w:val="nil"/>
            </w:tcBorders>
          </w:tcPr>
          <w:p>
            <w:pPr>
              <w:rPr>
                <w:sz w:val="2"/>
                <w:szCs w:val="2"/>
              </w:rPr>
            </w:pPr>
          </w:p>
        </w:tc>
        <w:tc>
          <w:tcPr>
            <w:tcW w:w="1463" w:type="dxa"/>
          </w:tcPr>
          <w:p>
            <w:pPr>
              <w:pStyle w:val="61"/>
              <w:jc w:val="left"/>
              <w:rPr>
                <w:rFonts w:ascii="黑体"/>
                <w:sz w:val="22"/>
              </w:rPr>
            </w:pPr>
          </w:p>
          <w:p>
            <w:pPr>
              <w:pStyle w:val="61"/>
              <w:jc w:val="left"/>
              <w:rPr>
                <w:rFonts w:ascii="黑体"/>
                <w:sz w:val="22"/>
              </w:rPr>
            </w:pPr>
          </w:p>
          <w:p>
            <w:pPr>
              <w:pStyle w:val="61"/>
              <w:jc w:val="left"/>
              <w:rPr>
                <w:rFonts w:ascii="黑体"/>
                <w:sz w:val="22"/>
              </w:rPr>
            </w:pPr>
          </w:p>
          <w:p>
            <w:pPr>
              <w:pStyle w:val="61"/>
              <w:jc w:val="left"/>
              <w:rPr>
                <w:rFonts w:ascii="黑体"/>
                <w:sz w:val="24"/>
              </w:rPr>
            </w:pPr>
          </w:p>
          <w:p>
            <w:pPr>
              <w:pStyle w:val="61"/>
              <w:spacing w:before="1"/>
              <w:ind w:left="56" w:right="51"/>
            </w:pPr>
            <w:r>
              <w:t xml:space="preserve">水面 </w:t>
            </w:r>
            <w:r>
              <w:rPr>
                <w:rFonts w:ascii="Times New Roman" w:eastAsia="Times New Roman"/>
              </w:rPr>
              <w:t xml:space="preserve">0.5m </w:t>
            </w:r>
            <w:r>
              <w:t>以下</w:t>
            </w:r>
          </w:p>
        </w:tc>
        <w:tc>
          <w:tcPr>
            <w:tcW w:w="1470" w:type="dxa"/>
          </w:tcPr>
          <w:p>
            <w:pPr>
              <w:pStyle w:val="61"/>
              <w:jc w:val="left"/>
              <w:rPr>
                <w:rFonts w:ascii="黑体"/>
                <w:sz w:val="22"/>
              </w:rPr>
            </w:pPr>
          </w:p>
          <w:p>
            <w:pPr>
              <w:pStyle w:val="61"/>
              <w:jc w:val="left"/>
              <w:rPr>
                <w:rFonts w:ascii="黑体"/>
                <w:sz w:val="22"/>
              </w:rPr>
            </w:pPr>
          </w:p>
          <w:p>
            <w:pPr>
              <w:pStyle w:val="61"/>
              <w:jc w:val="left"/>
              <w:rPr>
                <w:rFonts w:ascii="黑体"/>
                <w:sz w:val="22"/>
              </w:rPr>
            </w:pPr>
          </w:p>
          <w:p>
            <w:pPr>
              <w:pStyle w:val="61"/>
              <w:spacing w:before="2"/>
              <w:jc w:val="left"/>
              <w:rPr>
                <w:rFonts w:ascii="黑体"/>
                <w:sz w:val="25"/>
              </w:rPr>
            </w:pPr>
          </w:p>
          <w:p>
            <w:pPr>
              <w:pStyle w:val="61"/>
              <w:ind w:left="9"/>
              <w:rPr>
                <w:rFonts w:ascii="Times New Roman"/>
              </w:rPr>
            </w:pPr>
            <w:r>
              <w:rPr>
                <w:rFonts w:ascii="Times New Roman"/>
                <w:w w:val="99"/>
              </w:rPr>
              <w:t>1</w:t>
            </w:r>
          </w:p>
        </w:tc>
      </w:tr>
    </w:tbl>
    <w:p>
      <w:pPr>
        <w:spacing w:before="66" w:after="3"/>
        <w:ind w:left="1520" w:right="1537"/>
        <w:jc w:val="center"/>
        <w:rPr>
          <w:sz w:val="13"/>
        </w:rPr>
      </w:pPr>
      <w:r>
        <w:rPr>
          <w:rFonts w:hint="eastAsia" w:ascii="黑体" w:eastAsia="黑体"/>
        </w:rPr>
        <w:t>地下水检测点采样数量及监测项目</w:t>
      </w:r>
    </w:p>
    <w:p>
      <w:pPr>
        <w:pStyle w:val="5"/>
      </w:pPr>
    </w:p>
    <w:p>
      <w:pPr>
        <w:pStyle w:val="7"/>
        <w:bidi w:val="0"/>
        <w:rPr>
          <w:rFonts w:hint="eastAsia" w:cs="Times New Roman"/>
          <w:lang w:val="en-US" w:eastAsia="zh-CN"/>
        </w:rPr>
      </w:pPr>
      <w:bookmarkStart w:id="39" w:name="_Toc27599"/>
      <w:bookmarkStart w:id="40" w:name="_Toc7882"/>
      <w:r>
        <w:rPr>
          <w:rFonts w:hint="eastAsia" w:cs="Times New Roman"/>
          <w:lang w:val="en-US" w:eastAsia="zh-CN"/>
        </w:rPr>
        <w:t>4.3监测方法</w:t>
      </w:r>
      <w:bookmarkEnd w:id="39"/>
      <w:bookmarkEnd w:id="40"/>
    </w:p>
    <w:p>
      <w:pPr>
        <w:keepNext w:val="0"/>
        <w:keepLines w:val="0"/>
        <w:widowControl/>
        <w:suppressLineNumbers w:val="0"/>
        <w:ind w:firstLine="440" w:firstLineChars="200"/>
        <w:jc w:val="left"/>
        <w:rPr>
          <w:rFonts w:hint="default" w:ascii="微软雅黑" w:hAnsi="微软雅黑" w:eastAsia="微软雅黑" w:cs="微软雅黑"/>
          <w:kern w:val="2"/>
          <w:sz w:val="22"/>
          <w:szCs w:val="22"/>
          <w:lang w:val="en-US" w:eastAsia="zh-CN" w:bidi="ar-SA"/>
        </w:rPr>
      </w:pPr>
      <w:r>
        <w:rPr>
          <w:rFonts w:hint="default" w:ascii="微软雅黑" w:hAnsi="微软雅黑" w:eastAsia="微软雅黑" w:cs="微软雅黑"/>
          <w:kern w:val="2"/>
          <w:sz w:val="22"/>
          <w:szCs w:val="22"/>
          <w:lang w:val="en-US" w:eastAsia="zh-CN" w:bidi="ar-SA"/>
        </w:rPr>
        <w:t>按照</w:t>
      </w:r>
      <w:r>
        <w:rPr>
          <w:rFonts w:hint="eastAsia" w:ascii="微软雅黑" w:hAnsi="微软雅黑" w:eastAsia="微软雅黑" w:cs="微软雅黑"/>
          <w:kern w:val="2"/>
          <w:sz w:val="22"/>
          <w:szCs w:val="22"/>
          <w:lang w:val="en-US" w:eastAsia="zh-CN" w:bidi="ar-SA"/>
        </w:rPr>
        <w:t>《</w:t>
      </w:r>
      <w:r>
        <w:rPr>
          <w:rFonts w:hint="default" w:ascii="微软雅黑" w:hAnsi="微软雅黑" w:eastAsia="微软雅黑" w:cs="微软雅黑"/>
          <w:kern w:val="2"/>
          <w:sz w:val="22"/>
          <w:szCs w:val="22"/>
          <w:lang w:val="en-US" w:eastAsia="zh-CN" w:bidi="ar-SA"/>
        </w:rPr>
        <w:t>工业企业土壤和地下水自行监测技术指南</w:t>
      </w:r>
      <w:r>
        <w:rPr>
          <w:rFonts w:hint="eastAsia" w:ascii="微软雅黑" w:hAnsi="微软雅黑" w:eastAsia="微软雅黑" w:cs="微软雅黑"/>
          <w:kern w:val="2"/>
          <w:sz w:val="22"/>
          <w:szCs w:val="22"/>
          <w:lang w:val="en-US" w:eastAsia="zh-CN" w:bidi="ar-SA"/>
        </w:rPr>
        <w:t>》</w:t>
      </w:r>
      <w:r>
        <w:rPr>
          <w:rFonts w:hint="default" w:ascii="微软雅黑" w:hAnsi="微软雅黑" w:eastAsia="微软雅黑" w:cs="微软雅黑"/>
          <w:kern w:val="2"/>
          <w:sz w:val="22"/>
          <w:szCs w:val="22"/>
          <w:lang w:val="en-US" w:eastAsia="zh-CN" w:bidi="ar-SA"/>
        </w:rPr>
        <w:t>HJ 1209</w:t>
      </w:r>
      <w:r>
        <w:rPr>
          <w:rFonts w:hint="eastAsia" w:ascii="微软雅黑" w:hAnsi="微软雅黑" w:eastAsia="微软雅黑" w:cs="微软雅黑"/>
          <w:kern w:val="2"/>
          <w:sz w:val="22"/>
          <w:szCs w:val="22"/>
          <w:lang w:val="en-US" w:eastAsia="zh-CN" w:bidi="ar-SA"/>
        </w:rPr>
        <w:t>—</w:t>
      </w:r>
      <w:r>
        <w:rPr>
          <w:rFonts w:hint="default" w:ascii="微软雅黑" w:hAnsi="微软雅黑" w:eastAsia="微软雅黑" w:cs="微软雅黑"/>
          <w:kern w:val="2"/>
          <w:sz w:val="22"/>
          <w:szCs w:val="22"/>
          <w:lang w:val="en-US" w:eastAsia="zh-CN" w:bidi="ar-SA"/>
        </w:rPr>
        <w:t>2021《土壤环境监测技术规范》（HJ/T166-2014）、《场地环境监测技术导则》（25.2-2014）中所列的方法进行样品相应监测项目的检测。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40" w:firstLineChars="200"/>
        <w:textAlignment w:val="auto"/>
        <w:rPr>
          <w:rFonts w:hint="eastAsia" w:ascii="微软雅黑" w:hAnsi="微软雅黑" w:eastAsia="微软雅黑" w:cs="微软雅黑"/>
          <w:kern w:val="2"/>
          <w:sz w:val="22"/>
          <w:szCs w:val="22"/>
          <w:lang w:val="en-US" w:eastAsia="zh-CN" w:bidi="ar-SA"/>
        </w:rPr>
      </w:pPr>
      <w:r>
        <w:rPr>
          <w:rFonts w:hint="default" w:ascii="微软雅黑" w:hAnsi="微软雅黑" w:eastAsia="微软雅黑" w:cs="微软雅黑"/>
          <w:kern w:val="2"/>
          <w:sz w:val="22"/>
          <w:szCs w:val="22"/>
          <w:lang w:val="en-US" w:eastAsia="zh-CN" w:bidi="ar-SA"/>
        </w:rPr>
        <w:t>对不同类型的样品及污染物均采用相应的国家标准分析方法进行检测，以确保监测数据的准确性</w:t>
      </w:r>
      <w:r>
        <w:rPr>
          <w:rFonts w:hint="eastAsia" w:ascii="微软雅黑" w:hAnsi="微软雅黑" w:eastAsia="微软雅黑" w:cs="微软雅黑"/>
          <w:kern w:val="2"/>
          <w:sz w:val="22"/>
          <w:szCs w:val="22"/>
          <w:lang w:val="en-US" w:eastAsia="zh-CN" w:bidi="ar-SA"/>
        </w:rPr>
        <w:t>。</w:t>
      </w:r>
    </w:p>
    <w:p>
      <w:pPr>
        <w:pStyle w:val="7"/>
        <w:bidi w:val="0"/>
        <w:rPr>
          <w:rFonts w:hint="eastAsia" w:cs="Times New Roman"/>
          <w:lang w:val="en-US" w:eastAsia="zh-CN"/>
        </w:rPr>
      </w:pPr>
      <w:bookmarkStart w:id="41" w:name="_Toc26806"/>
      <w:bookmarkStart w:id="42" w:name="_Toc29891"/>
      <w:r>
        <w:rPr>
          <w:rFonts w:hint="eastAsia" w:cs="Times New Roman"/>
          <w:lang w:val="en-US" w:eastAsia="zh-CN"/>
        </w:rPr>
        <w:t>4.4 监测结果分析</w:t>
      </w:r>
      <w:bookmarkEnd w:id="41"/>
      <w:bookmarkEnd w:id="42"/>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40" w:firstLineChars="200"/>
        <w:textAlignment w:val="auto"/>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2"/>
          <w:szCs w:val="22"/>
        </w:rPr>
        <w:t>202</w:t>
      </w:r>
      <w:r>
        <w:rPr>
          <w:rFonts w:hint="eastAsia" w:ascii="微软雅黑" w:hAnsi="微软雅黑" w:eastAsia="微软雅黑" w:cs="微软雅黑"/>
          <w:sz w:val="22"/>
          <w:szCs w:val="22"/>
          <w:lang w:val="en-US" w:eastAsia="zh-CN"/>
        </w:rPr>
        <w:t>2</w:t>
      </w:r>
      <w:r>
        <w:rPr>
          <w:rFonts w:hint="eastAsia" w:ascii="微软雅黑" w:hAnsi="微软雅黑" w:eastAsia="微软雅黑" w:cs="微软雅黑"/>
          <w:sz w:val="22"/>
          <w:szCs w:val="22"/>
        </w:rPr>
        <w:t>年</w:t>
      </w:r>
      <w:r>
        <w:rPr>
          <w:rFonts w:hint="eastAsia" w:ascii="微软雅黑" w:hAnsi="微软雅黑" w:eastAsia="微软雅黑" w:cs="微软雅黑"/>
          <w:sz w:val="22"/>
          <w:szCs w:val="22"/>
          <w:lang w:val="en-US" w:eastAsia="zh-CN"/>
        </w:rPr>
        <w:t>6</w:t>
      </w:r>
      <w:r>
        <w:rPr>
          <w:rFonts w:hint="eastAsia" w:ascii="微软雅黑" w:hAnsi="微软雅黑" w:eastAsia="微软雅黑" w:cs="微软雅黑"/>
          <w:sz w:val="22"/>
          <w:szCs w:val="22"/>
        </w:rPr>
        <w:t>月</w:t>
      </w:r>
      <w:r>
        <w:rPr>
          <w:rFonts w:hint="eastAsia" w:ascii="微软雅黑" w:hAnsi="微软雅黑" w:eastAsia="微软雅黑" w:cs="微软雅黑"/>
          <w:sz w:val="22"/>
          <w:szCs w:val="22"/>
          <w:lang w:val="en-US" w:eastAsia="zh-CN"/>
        </w:rPr>
        <w:t>10</w:t>
      </w:r>
      <w:r>
        <w:rPr>
          <w:rFonts w:hint="eastAsia" w:ascii="微软雅黑" w:hAnsi="微软雅黑" w:eastAsia="微软雅黑" w:cs="微软雅黑"/>
          <w:sz w:val="22"/>
          <w:szCs w:val="22"/>
        </w:rPr>
        <w:t>日-</w:t>
      </w:r>
      <w:r>
        <w:rPr>
          <w:rFonts w:hint="eastAsia" w:ascii="微软雅黑" w:hAnsi="微软雅黑" w:eastAsia="微软雅黑" w:cs="微软雅黑"/>
          <w:sz w:val="22"/>
          <w:szCs w:val="22"/>
          <w:lang w:val="en-US" w:eastAsia="zh-CN"/>
        </w:rPr>
        <w:t>6</w:t>
      </w:r>
      <w:r>
        <w:rPr>
          <w:rFonts w:hint="eastAsia" w:ascii="微软雅黑" w:hAnsi="微软雅黑" w:eastAsia="微软雅黑" w:cs="微软雅黑"/>
          <w:sz w:val="22"/>
          <w:szCs w:val="22"/>
        </w:rPr>
        <w:t>月</w:t>
      </w:r>
      <w:r>
        <w:rPr>
          <w:rFonts w:hint="eastAsia" w:ascii="微软雅黑" w:hAnsi="微软雅黑" w:eastAsia="微软雅黑" w:cs="微软雅黑"/>
          <w:sz w:val="22"/>
          <w:szCs w:val="22"/>
          <w:lang w:val="en-US" w:eastAsia="zh-CN"/>
        </w:rPr>
        <w:t>11</w:t>
      </w:r>
      <w:r>
        <w:rPr>
          <w:rFonts w:hint="eastAsia" w:ascii="微软雅黑" w:hAnsi="微软雅黑" w:eastAsia="微软雅黑" w:cs="微软雅黑"/>
          <w:sz w:val="22"/>
          <w:szCs w:val="22"/>
        </w:rPr>
        <w:t>日</w:t>
      </w:r>
      <w:r>
        <w:rPr>
          <w:rFonts w:hint="eastAsia" w:ascii="微软雅黑" w:hAnsi="微软雅黑" w:eastAsia="微软雅黑" w:cs="微软雅黑"/>
          <w:kern w:val="2"/>
          <w:sz w:val="22"/>
          <w:szCs w:val="22"/>
          <w:lang w:val="en-US" w:eastAsia="zh-CN" w:bidi="ar-SA"/>
        </w:rPr>
        <w:t>，安阳盈德气体有限公司委托湖北跃华检测有限公司对土壤及地下水进行现场采样。根据土壤自行监测报告，本次监测土壤含量未超过《土壤环境质量建设用地土壤污染风险管控标准 （试行）》（GB 36600-2018）表1和表2筛选值第二类用地限值。具体结果监测报告。</w:t>
      </w:r>
    </w:p>
    <w:p>
      <w:pPr>
        <w:pStyle w:val="3"/>
        <w:rPr>
          <w:rFonts w:hint="eastAsia"/>
          <w:lang w:val="en-US" w:eastAsia="zh-CN"/>
        </w:rPr>
      </w:pPr>
    </w:p>
    <w:p>
      <w:pPr>
        <w:pStyle w:val="4"/>
        <w:keepNext w:val="0"/>
        <w:keepLines w:val="0"/>
        <w:pageBreakBefore w:val="0"/>
        <w:widowControl/>
        <w:kinsoku/>
        <w:wordWrap/>
        <w:overflowPunct/>
        <w:topLinePunct w:val="0"/>
        <w:autoSpaceDE/>
        <w:autoSpaceDN/>
        <w:bidi w:val="0"/>
        <w:adjustRightInd/>
        <w:snapToGrid/>
        <w:spacing w:before="0" w:after="0" w:line="360" w:lineRule="auto"/>
        <w:ind w:firstLine="480" w:firstLineChars="200"/>
        <w:textAlignment w:val="auto"/>
        <w:rPr>
          <w:rFonts w:hint="default"/>
          <w:sz w:val="24"/>
          <w:szCs w:val="24"/>
          <w:lang w:val="en-US" w:eastAsia="zh-CN"/>
        </w:rPr>
      </w:pPr>
    </w:p>
    <w:p>
      <w:pPr>
        <w:pStyle w:val="4"/>
        <w:keepNext w:val="0"/>
        <w:keepLines w:val="0"/>
        <w:pageBreakBefore w:val="0"/>
        <w:widowControl/>
        <w:kinsoku/>
        <w:wordWrap/>
        <w:overflowPunct/>
        <w:topLinePunct w:val="0"/>
        <w:autoSpaceDE/>
        <w:autoSpaceDN/>
        <w:bidi w:val="0"/>
        <w:adjustRightInd/>
        <w:snapToGrid/>
        <w:spacing w:before="0" w:after="0" w:line="360" w:lineRule="auto"/>
        <w:ind w:firstLine="480" w:firstLineChars="200"/>
        <w:textAlignment w:val="auto"/>
        <w:rPr>
          <w:rFonts w:hint="default"/>
          <w:sz w:val="24"/>
          <w:szCs w:val="24"/>
          <w:lang w:val="en-US" w:eastAsia="zh-CN"/>
        </w:rPr>
      </w:pPr>
    </w:p>
    <w:p>
      <w:pPr>
        <w:pStyle w:val="4"/>
        <w:keepNext w:val="0"/>
        <w:keepLines w:val="0"/>
        <w:pageBreakBefore w:val="0"/>
        <w:widowControl/>
        <w:kinsoku/>
        <w:wordWrap/>
        <w:overflowPunct/>
        <w:topLinePunct w:val="0"/>
        <w:autoSpaceDE/>
        <w:autoSpaceDN/>
        <w:bidi w:val="0"/>
        <w:adjustRightInd/>
        <w:snapToGrid/>
        <w:spacing w:before="0" w:after="0" w:line="360" w:lineRule="auto"/>
        <w:ind w:firstLine="360" w:firstLineChars="200"/>
        <w:textAlignment w:val="auto"/>
        <w:rPr>
          <w:rFonts w:hint="default"/>
          <w:sz w:val="24"/>
          <w:szCs w:val="24"/>
          <w:lang w:val="en-US" w:eastAsia="zh-CN"/>
        </w:rPr>
      </w:pPr>
      <w:r>
        <w:drawing>
          <wp:inline distT="0" distB="0" distL="114300" distR="114300">
            <wp:extent cx="5667375" cy="8143240"/>
            <wp:effectExtent l="0" t="0" r="952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667375" cy="8143240"/>
                    </a:xfrm>
                    <a:prstGeom prst="rect">
                      <a:avLst/>
                    </a:prstGeom>
                    <a:noFill/>
                    <a:ln>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before="0" w:after="0" w:line="360" w:lineRule="auto"/>
        <w:ind w:firstLine="360" w:firstLineChars="200"/>
        <w:textAlignment w:val="auto"/>
        <w:rPr>
          <w:rFonts w:hint="default"/>
          <w:sz w:val="24"/>
          <w:szCs w:val="24"/>
          <w:lang w:val="en-US" w:eastAsia="zh-CN"/>
        </w:rPr>
      </w:pPr>
      <w:r>
        <w:drawing>
          <wp:inline distT="0" distB="0" distL="114300" distR="114300">
            <wp:extent cx="5800725" cy="8172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800725" cy="8172450"/>
                    </a:xfrm>
                    <a:prstGeom prst="rect">
                      <a:avLst/>
                    </a:prstGeom>
                    <a:noFill/>
                    <a:ln>
                      <a:noFill/>
                    </a:ln>
                  </pic:spPr>
                </pic:pic>
              </a:graphicData>
            </a:graphic>
          </wp:inline>
        </w:drawing>
      </w:r>
      <w:r>
        <w:rPr>
          <w:rFonts w:hint="default"/>
          <w:sz w:val="24"/>
          <w:szCs w:val="24"/>
          <w:lang w:val="en-US" w:eastAsia="zh-CN"/>
        </w:rPr>
        <w:drawing>
          <wp:inline distT="0" distB="0" distL="114300" distR="114300">
            <wp:extent cx="6485890" cy="8514715"/>
            <wp:effectExtent l="0" t="0" r="10160" b="635"/>
            <wp:docPr id="3" name="图片 3" descr="167688153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6881531756"/>
                    <pic:cNvPicPr>
                      <a:picLocks noChangeAspect="1"/>
                    </pic:cNvPicPr>
                  </pic:nvPicPr>
                  <pic:blipFill>
                    <a:blip r:embed="rId14"/>
                    <a:stretch>
                      <a:fillRect/>
                    </a:stretch>
                  </pic:blipFill>
                  <pic:spPr>
                    <a:xfrm>
                      <a:off x="0" y="0"/>
                      <a:ext cx="6485890" cy="8514715"/>
                    </a:xfrm>
                    <a:prstGeom prst="rect">
                      <a:avLst/>
                    </a:prstGeom>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before="0" w:after="0" w:line="360" w:lineRule="auto"/>
        <w:ind w:firstLine="480" w:firstLineChars="200"/>
        <w:textAlignment w:val="auto"/>
        <w:rPr>
          <w:rFonts w:hint="default"/>
          <w:sz w:val="24"/>
          <w:szCs w:val="24"/>
          <w:lang w:val="en-US" w:eastAsia="zh-CN"/>
        </w:rPr>
      </w:pPr>
      <w:r>
        <w:rPr>
          <w:rFonts w:hint="default"/>
          <w:sz w:val="24"/>
          <w:szCs w:val="24"/>
          <w:lang w:val="en-US" w:eastAsia="zh-CN"/>
        </w:rPr>
        <w:drawing>
          <wp:inline distT="0" distB="0" distL="114300" distR="114300">
            <wp:extent cx="5762625" cy="8838565"/>
            <wp:effectExtent l="0" t="0" r="9525" b="635"/>
            <wp:docPr id="6" name="图片 6" descr="167688155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6881553830"/>
                    <pic:cNvPicPr>
                      <a:picLocks noChangeAspect="1"/>
                    </pic:cNvPicPr>
                  </pic:nvPicPr>
                  <pic:blipFill>
                    <a:blip r:embed="rId15"/>
                    <a:stretch>
                      <a:fillRect/>
                    </a:stretch>
                  </pic:blipFill>
                  <pic:spPr>
                    <a:xfrm>
                      <a:off x="0" y="0"/>
                      <a:ext cx="5762625" cy="8838565"/>
                    </a:xfrm>
                    <a:prstGeom prst="rect">
                      <a:avLst/>
                    </a:prstGeom>
                  </pic:spPr>
                </pic:pic>
              </a:graphicData>
            </a:graphic>
          </wp:inline>
        </w:drawing>
      </w:r>
      <w:r>
        <w:rPr>
          <w:rFonts w:hint="default"/>
          <w:sz w:val="24"/>
          <w:szCs w:val="24"/>
          <w:lang w:val="en-US" w:eastAsia="zh-CN"/>
        </w:rPr>
        <w:drawing>
          <wp:inline distT="0" distB="0" distL="114300" distR="114300">
            <wp:extent cx="5971540" cy="7847965"/>
            <wp:effectExtent l="0" t="0" r="10160" b="635"/>
            <wp:docPr id="8" name="图片 8" descr="167688158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6881580192"/>
                    <pic:cNvPicPr>
                      <a:picLocks noChangeAspect="1"/>
                    </pic:cNvPicPr>
                  </pic:nvPicPr>
                  <pic:blipFill>
                    <a:blip r:embed="rId16"/>
                    <a:stretch>
                      <a:fillRect/>
                    </a:stretch>
                  </pic:blipFill>
                  <pic:spPr>
                    <a:xfrm>
                      <a:off x="0" y="0"/>
                      <a:ext cx="5971540" cy="7847965"/>
                    </a:xfrm>
                    <a:prstGeom prst="rect">
                      <a:avLst/>
                    </a:prstGeom>
                  </pic:spPr>
                </pic:pic>
              </a:graphicData>
            </a:graphic>
          </wp:inline>
        </w:drawing>
      </w:r>
    </w:p>
    <w:p>
      <w:pPr>
        <w:pStyle w:val="5"/>
        <w:rPr>
          <w:rFonts w:hint="default"/>
          <w:lang w:val="en-US" w:eastAsia="zh-CN"/>
        </w:rPr>
      </w:pPr>
      <w:r>
        <w:rPr>
          <w:rFonts w:hint="default"/>
          <w:lang w:val="en-US" w:eastAsia="zh-CN"/>
        </w:rPr>
        <w:drawing>
          <wp:inline distT="0" distB="0" distL="114300" distR="114300">
            <wp:extent cx="6114415" cy="8019415"/>
            <wp:effectExtent l="0" t="0" r="635" b="635"/>
            <wp:docPr id="11" name="图片 11" descr="167688164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6881648065"/>
                    <pic:cNvPicPr>
                      <a:picLocks noChangeAspect="1"/>
                    </pic:cNvPicPr>
                  </pic:nvPicPr>
                  <pic:blipFill>
                    <a:blip r:embed="rId17"/>
                    <a:stretch>
                      <a:fillRect/>
                    </a:stretch>
                  </pic:blipFill>
                  <pic:spPr>
                    <a:xfrm>
                      <a:off x="0" y="0"/>
                      <a:ext cx="6114415" cy="8019415"/>
                    </a:xfrm>
                    <a:prstGeom prst="rect">
                      <a:avLst/>
                    </a:prstGeom>
                  </pic:spPr>
                </pic:pic>
              </a:graphicData>
            </a:graphic>
          </wp:inline>
        </w:drawing>
      </w:r>
    </w:p>
    <w:p>
      <w:pPr>
        <w:rPr>
          <w:rFonts w:hint="default"/>
          <w:lang w:val="en-US" w:eastAsia="zh-CN"/>
        </w:rPr>
      </w:pPr>
    </w:p>
    <w:p>
      <w:pPr>
        <w:pStyle w:val="2"/>
        <w:ind w:left="0" w:leftChars="0" w:firstLine="0" w:firstLineChars="0"/>
        <w:rPr>
          <w:rFonts w:hint="default"/>
          <w:lang w:val="en-US" w:eastAsia="zh-CN"/>
        </w:rPr>
      </w:pPr>
      <w:r>
        <w:rPr>
          <w:rFonts w:hint="default"/>
          <w:lang w:val="en-US" w:eastAsia="zh-CN"/>
        </w:rPr>
        <w:drawing>
          <wp:inline distT="0" distB="0" distL="114300" distR="114300">
            <wp:extent cx="6352540" cy="8096250"/>
            <wp:effectExtent l="0" t="0" r="10160" b="0"/>
            <wp:docPr id="12" name="图片 12" descr="167688166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6881668755"/>
                    <pic:cNvPicPr>
                      <a:picLocks noChangeAspect="1"/>
                    </pic:cNvPicPr>
                  </pic:nvPicPr>
                  <pic:blipFill>
                    <a:blip r:embed="rId18"/>
                    <a:stretch>
                      <a:fillRect/>
                    </a:stretch>
                  </pic:blipFill>
                  <pic:spPr>
                    <a:xfrm>
                      <a:off x="0" y="0"/>
                      <a:ext cx="6352540" cy="8096250"/>
                    </a:xfrm>
                    <a:prstGeom prst="rect">
                      <a:avLst/>
                    </a:prstGeom>
                  </pic:spPr>
                </pic:pic>
              </a:graphicData>
            </a:graphic>
          </wp:inline>
        </w:drawing>
      </w:r>
    </w:p>
    <w:p>
      <w:pPr>
        <w:pStyle w:val="3"/>
        <w:rPr>
          <w:rFonts w:hint="default"/>
          <w:lang w:val="en-US" w:eastAsia="zh-CN"/>
        </w:rPr>
      </w:pPr>
      <w:r>
        <w:rPr>
          <w:rFonts w:hint="default"/>
          <w:lang w:val="en-US" w:eastAsia="zh-CN"/>
        </w:rPr>
        <w:drawing>
          <wp:inline distT="0" distB="0" distL="114300" distR="114300">
            <wp:extent cx="6133465" cy="8020050"/>
            <wp:effectExtent l="0" t="0" r="635" b="0"/>
            <wp:docPr id="13" name="图片 13" descr="16768816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6881692538"/>
                    <pic:cNvPicPr>
                      <a:picLocks noChangeAspect="1"/>
                    </pic:cNvPicPr>
                  </pic:nvPicPr>
                  <pic:blipFill>
                    <a:blip r:embed="rId19"/>
                    <a:stretch>
                      <a:fillRect/>
                    </a:stretch>
                  </pic:blipFill>
                  <pic:spPr>
                    <a:xfrm>
                      <a:off x="0" y="0"/>
                      <a:ext cx="6133465" cy="8020050"/>
                    </a:xfrm>
                    <a:prstGeom prst="rect">
                      <a:avLst/>
                    </a:prstGeom>
                  </pic:spPr>
                </pic:pic>
              </a:graphicData>
            </a:graphic>
          </wp:inline>
        </w:drawing>
      </w:r>
    </w:p>
    <w:p>
      <w:pPr>
        <w:pStyle w:val="4"/>
        <w:rPr>
          <w:rFonts w:hint="default"/>
          <w:lang w:val="en-US" w:eastAsia="zh-CN"/>
        </w:rPr>
      </w:pPr>
      <w:r>
        <w:rPr>
          <w:rFonts w:hint="default"/>
          <w:lang w:val="en-US" w:eastAsia="zh-CN"/>
        </w:rPr>
        <w:drawing>
          <wp:inline distT="0" distB="0" distL="114300" distR="114300">
            <wp:extent cx="6257925" cy="4306570"/>
            <wp:effectExtent l="0" t="0" r="9525" b="17780"/>
            <wp:docPr id="35" name="图片 35" descr="167688171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76881718425"/>
                    <pic:cNvPicPr>
                      <a:picLocks noChangeAspect="1"/>
                    </pic:cNvPicPr>
                  </pic:nvPicPr>
                  <pic:blipFill>
                    <a:blip r:embed="rId20"/>
                    <a:stretch>
                      <a:fillRect/>
                    </a:stretch>
                  </pic:blipFill>
                  <pic:spPr>
                    <a:xfrm>
                      <a:off x="0" y="0"/>
                      <a:ext cx="6257925" cy="4306570"/>
                    </a:xfrm>
                    <a:prstGeom prst="rect">
                      <a:avLst/>
                    </a:prstGeom>
                  </pic:spPr>
                </pic:pic>
              </a:graphicData>
            </a:graphic>
          </wp:inline>
        </w:drawing>
      </w:r>
    </w:p>
    <w:p>
      <w:pPr>
        <w:pStyle w:val="5"/>
        <w:rPr>
          <w:rFonts w:hint="default"/>
          <w:lang w:val="en-US" w:eastAsia="zh-CN"/>
        </w:rPr>
      </w:pPr>
      <w:r>
        <w:rPr>
          <w:rFonts w:hint="default"/>
          <w:lang w:val="en-US" w:eastAsia="zh-CN"/>
        </w:rPr>
        <w:drawing>
          <wp:inline distT="0" distB="0" distL="114300" distR="114300">
            <wp:extent cx="6261100" cy="3941445"/>
            <wp:effectExtent l="0" t="0" r="6350" b="1905"/>
            <wp:docPr id="36" name="图片 36" descr="167688173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76881737852"/>
                    <pic:cNvPicPr>
                      <a:picLocks noChangeAspect="1"/>
                    </pic:cNvPicPr>
                  </pic:nvPicPr>
                  <pic:blipFill>
                    <a:blip r:embed="rId21"/>
                    <a:stretch>
                      <a:fillRect/>
                    </a:stretch>
                  </pic:blipFill>
                  <pic:spPr>
                    <a:xfrm>
                      <a:off x="0" y="0"/>
                      <a:ext cx="6261100" cy="3941445"/>
                    </a:xfrm>
                    <a:prstGeom prst="rect">
                      <a:avLst/>
                    </a:prstGeom>
                  </pic:spPr>
                </pic:pic>
              </a:graphicData>
            </a:graphic>
          </wp:inline>
        </w:drawing>
      </w:r>
    </w:p>
    <w:p>
      <w:pPr>
        <w:pStyle w:val="5"/>
        <w:rPr>
          <w:rFonts w:hint="default"/>
          <w:sz w:val="24"/>
          <w:szCs w:val="24"/>
          <w:lang w:val="en-US" w:eastAsia="zh-CN"/>
        </w:rPr>
      </w:pPr>
      <w:r>
        <w:rPr>
          <w:rFonts w:hint="default"/>
          <w:sz w:val="24"/>
          <w:szCs w:val="24"/>
          <w:lang w:val="en-US" w:eastAsia="zh-CN"/>
        </w:rPr>
        <w:drawing>
          <wp:inline distT="0" distB="0" distL="114300" distR="114300">
            <wp:extent cx="5876290" cy="6838950"/>
            <wp:effectExtent l="0" t="0" r="10160" b="0"/>
            <wp:docPr id="37" name="图片 37" descr="167688176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76881761834"/>
                    <pic:cNvPicPr>
                      <a:picLocks noChangeAspect="1"/>
                    </pic:cNvPicPr>
                  </pic:nvPicPr>
                  <pic:blipFill>
                    <a:blip r:embed="rId22"/>
                    <a:stretch>
                      <a:fillRect/>
                    </a:stretch>
                  </pic:blipFill>
                  <pic:spPr>
                    <a:xfrm>
                      <a:off x="0" y="0"/>
                      <a:ext cx="5876290" cy="6838950"/>
                    </a:xfrm>
                    <a:prstGeom prst="rect">
                      <a:avLst/>
                    </a:prstGeom>
                  </pic:spPr>
                </pic:pic>
              </a:graphicData>
            </a:graphic>
          </wp:inline>
        </w:drawing>
      </w:r>
    </w:p>
    <w:p>
      <w:pPr>
        <w:rPr>
          <w:rFonts w:hint="default"/>
          <w:sz w:val="24"/>
          <w:szCs w:val="24"/>
          <w:lang w:val="en-US" w:eastAsia="zh-CN"/>
        </w:rPr>
      </w:pPr>
      <w:r>
        <w:rPr>
          <w:rFonts w:hint="eastAsia"/>
          <w:sz w:val="24"/>
          <w:szCs w:val="24"/>
          <w:lang w:val="en-US" w:eastAsia="zh-CN"/>
        </w:rPr>
        <w:t>、</w:t>
      </w:r>
    </w:p>
    <w:p>
      <w:pPr>
        <w:pStyle w:val="2"/>
        <w:ind w:left="0" w:leftChars="0" w:firstLine="0" w:firstLineChars="0"/>
        <w:rPr>
          <w:rFonts w:hint="default"/>
          <w:sz w:val="24"/>
          <w:szCs w:val="24"/>
          <w:lang w:val="en-US" w:eastAsia="zh-CN"/>
        </w:rPr>
      </w:pPr>
    </w:p>
    <w:p>
      <w:pPr>
        <w:pStyle w:val="3"/>
        <w:rPr>
          <w:rFonts w:hint="default"/>
          <w:sz w:val="24"/>
          <w:szCs w:val="24"/>
          <w:lang w:val="en-US" w:eastAsia="zh-CN"/>
        </w:rPr>
      </w:pPr>
    </w:p>
    <w:p>
      <w:pPr>
        <w:pStyle w:val="4"/>
        <w:rPr>
          <w:rFonts w:hint="default"/>
          <w:sz w:val="24"/>
          <w:szCs w:val="24"/>
          <w:lang w:val="en-US" w:eastAsia="zh-CN"/>
        </w:rPr>
      </w:pPr>
    </w:p>
    <w:p>
      <w:pPr>
        <w:pStyle w:val="5"/>
        <w:rPr>
          <w:rFonts w:hint="default"/>
          <w:sz w:val="24"/>
          <w:szCs w:val="24"/>
          <w:lang w:val="en-US" w:eastAsia="zh-CN"/>
        </w:rPr>
      </w:pPr>
    </w:p>
    <w:p>
      <w:pPr>
        <w:rPr>
          <w:rFonts w:hint="default"/>
          <w:lang w:val="en-US" w:eastAsia="zh-CN"/>
        </w:rPr>
      </w:pPr>
    </w:p>
    <w:p>
      <w:pPr>
        <w:pStyle w:val="4"/>
        <w:keepNext w:val="0"/>
        <w:keepLines w:val="0"/>
        <w:pageBreakBefore w:val="0"/>
        <w:widowControl/>
        <w:kinsoku/>
        <w:wordWrap/>
        <w:overflowPunct/>
        <w:topLinePunct w:val="0"/>
        <w:autoSpaceDE/>
        <w:autoSpaceDN/>
        <w:bidi w:val="0"/>
        <w:adjustRightInd/>
        <w:snapToGrid/>
        <w:spacing w:before="0" w:after="0" w:line="360" w:lineRule="auto"/>
        <w:textAlignment w:val="auto"/>
        <w:rPr>
          <w:rFonts w:hint="eastAsia" w:ascii="微软雅黑" w:hAnsi="微软雅黑" w:eastAsia="微软雅黑" w:cs="微软雅黑"/>
          <w:sz w:val="21"/>
          <w:szCs w:val="21"/>
          <w:lang w:val="en-US" w:eastAsia="zh-CN"/>
        </w:rPr>
      </w:pPr>
    </w:p>
    <w:p>
      <w:pPr>
        <w:pStyle w:val="4"/>
        <w:keepNext w:val="0"/>
        <w:keepLines w:val="0"/>
        <w:pageBreakBefore w:val="0"/>
        <w:widowControl/>
        <w:kinsoku/>
        <w:wordWrap/>
        <w:overflowPunct/>
        <w:topLinePunct w:val="0"/>
        <w:autoSpaceDE/>
        <w:autoSpaceDN/>
        <w:bidi w:val="0"/>
        <w:adjustRightInd/>
        <w:snapToGrid/>
        <w:spacing w:before="0" w:after="0" w:line="360" w:lineRule="auto"/>
        <w:textAlignment w:val="auto"/>
      </w:pPr>
    </w:p>
    <w:p>
      <w:pPr>
        <w:pStyle w:val="5"/>
        <w:rPr>
          <w:rFonts w:hint="eastAsia" w:eastAsia="宋体"/>
          <w:lang w:eastAsia="zh-CN"/>
        </w:rPr>
      </w:pPr>
      <w:r>
        <w:rPr>
          <w:rFonts w:hint="eastAsia" w:eastAsia="宋体"/>
          <w:lang w:eastAsia="zh-CN"/>
        </w:rPr>
        <w:drawing>
          <wp:inline distT="0" distB="0" distL="114300" distR="114300">
            <wp:extent cx="6438900" cy="7381875"/>
            <wp:effectExtent l="0" t="0" r="0" b="9525"/>
            <wp:docPr id="38" name="图片 38" descr="167688187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76881873904"/>
                    <pic:cNvPicPr>
                      <a:picLocks noChangeAspect="1"/>
                    </pic:cNvPicPr>
                  </pic:nvPicPr>
                  <pic:blipFill>
                    <a:blip r:embed="rId23"/>
                    <a:stretch>
                      <a:fillRect/>
                    </a:stretch>
                  </pic:blipFill>
                  <pic:spPr>
                    <a:xfrm>
                      <a:off x="0" y="0"/>
                      <a:ext cx="6438900" cy="7381875"/>
                    </a:xfrm>
                    <a:prstGeom prst="rect">
                      <a:avLst/>
                    </a:prstGeom>
                  </pic:spPr>
                </pic:pic>
              </a:graphicData>
            </a:graphic>
          </wp:inline>
        </w:drawing>
      </w:r>
    </w:p>
    <w:p>
      <w:pPr>
        <w:rPr>
          <w:rFonts w:hint="eastAsia"/>
          <w:lang w:eastAsia="zh-CN"/>
        </w:rPr>
      </w:pPr>
    </w:p>
    <w:p/>
    <w:p>
      <w:pPr>
        <w:pStyle w:val="2"/>
        <w:rPr>
          <w:rFonts w:hint="eastAsia" w:eastAsia="宋体"/>
          <w:lang w:eastAsia="zh-CN"/>
        </w:rPr>
      </w:pPr>
      <w:r>
        <w:rPr>
          <w:rFonts w:hint="eastAsia" w:eastAsia="宋体"/>
          <w:lang w:eastAsia="zh-CN"/>
        </w:rPr>
        <w:drawing>
          <wp:inline distT="0" distB="0" distL="114300" distR="114300">
            <wp:extent cx="4724400" cy="6800850"/>
            <wp:effectExtent l="0" t="0" r="0" b="0"/>
            <wp:docPr id="39" name="图片 39" descr="167688189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6881899719"/>
                    <pic:cNvPicPr>
                      <a:picLocks noChangeAspect="1"/>
                    </pic:cNvPicPr>
                  </pic:nvPicPr>
                  <pic:blipFill>
                    <a:blip r:embed="rId24"/>
                    <a:stretch>
                      <a:fillRect/>
                    </a:stretch>
                  </pic:blipFill>
                  <pic:spPr>
                    <a:xfrm>
                      <a:off x="0" y="0"/>
                      <a:ext cx="4724400" cy="6800850"/>
                    </a:xfrm>
                    <a:prstGeom prst="rect">
                      <a:avLst/>
                    </a:prstGeom>
                  </pic:spPr>
                </pic:pic>
              </a:graphicData>
            </a:graphic>
          </wp:inline>
        </w:drawing>
      </w:r>
    </w:p>
    <w:p>
      <w:pPr>
        <w:pStyle w:val="3"/>
        <w:rPr>
          <w:rFonts w:hint="eastAsia" w:eastAsia="宋体"/>
          <w:lang w:eastAsia="zh-CN"/>
        </w:rPr>
      </w:pPr>
      <w:r>
        <w:rPr>
          <w:rFonts w:hint="eastAsia" w:eastAsia="宋体"/>
          <w:lang w:eastAsia="zh-CN"/>
        </w:rPr>
        <w:drawing>
          <wp:inline distT="0" distB="0" distL="114300" distR="114300">
            <wp:extent cx="5924550" cy="7409815"/>
            <wp:effectExtent l="0" t="0" r="0" b="635"/>
            <wp:docPr id="41" name="图片 41" descr="167688201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76882015435"/>
                    <pic:cNvPicPr>
                      <a:picLocks noChangeAspect="1"/>
                    </pic:cNvPicPr>
                  </pic:nvPicPr>
                  <pic:blipFill>
                    <a:blip r:embed="rId25"/>
                    <a:stretch>
                      <a:fillRect/>
                    </a:stretch>
                  </pic:blipFill>
                  <pic:spPr>
                    <a:xfrm>
                      <a:off x="0" y="0"/>
                      <a:ext cx="5924550" cy="7409815"/>
                    </a:xfrm>
                    <a:prstGeom prst="rect">
                      <a:avLst/>
                    </a:prstGeom>
                  </pic:spPr>
                </pic:pic>
              </a:graphicData>
            </a:graphic>
          </wp:inline>
        </w:drawing>
      </w:r>
    </w:p>
    <w:p>
      <w:pPr>
        <w:pStyle w:val="4"/>
        <w:rPr>
          <w:rFonts w:hint="eastAsia" w:eastAsia="宋体"/>
          <w:lang w:eastAsia="zh-CN"/>
        </w:rPr>
      </w:pPr>
      <w:r>
        <w:rPr>
          <w:rFonts w:hint="eastAsia" w:eastAsia="宋体"/>
          <w:lang w:eastAsia="zh-CN"/>
        </w:rPr>
        <w:drawing>
          <wp:inline distT="0" distB="0" distL="114300" distR="114300">
            <wp:extent cx="5771515" cy="8286115"/>
            <wp:effectExtent l="0" t="0" r="635" b="635"/>
            <wp:docPr id="43" name="图片 43" descr="167688241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76882412634"/>
                    <pic:cNvPicPr>
                      <a:picLocks noChangeAspect="1"/>
                    </pic:cNvPicPr>
                  </pic:nvPicPr>
                  <pic:blipFill>
                    <a:blip r:embed="rId26"/>
                    <a:stretch>
                      <a:fillRect/>
                    </a:stretch>
                  </pic:blipFill>
                  <pic:spPr>
                    <a:xfrm>
                      <a:off x="0" y="0"/>
                      <a:ext cx="5771515" cy="8286115"/>
                    </a:xfrm>
                    <a:prstGeom prst="rect">
                      <a:avLst/>
                    </a:prstGeom>
                  </pic:spPr>
                </pic:pic>
              </a:graphicData>
            </a:graphic>
          </wp:inline>
        </w:drawing>
      </w:r>
      <w:r>
        <w:rPr>
          <w:rFonts w:hint="eastAsia" w:eastAsia="宋体"/>
          <w:lang w:eastAsia="zh-CN"/>
        </w:rPr>
        <w:drawing>
          <wp:inline distT="0" distB="0" distL="114300" distR="114300">
            <wp:extent cx="5534025" cy="7066915"/>
            <wp:effectExtent l="0" t="0" r="9525" b="635"/>
            <wp:docPr id="44" name="图片 44" descr="167688244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76882440600"/>
                    <pic:cNvPicPr>
                      <a:picLocks noChangeAspect="1"/>
                    </pic:cNvPicPr>
                  </pic:nvPicPr>
                  <pic:blipFill>
                    <a:blip r:embed="rId27"/>
                    <a:stretch>
                      <a:fillRect/>
                    </a:stretch>
                  </pic:blipFill>
                  <pic:spPr>
                    <a:xfrm>
                      <a:off x="0" y="0"/>
                      <a:ext cx="5534025" cy="7066915"/>
                    </a:xfrm>
                    <a:prstGeom prst="rect">
                      <a:avLst/>
                    </a:prstGeom>
                  </pic:spPr>
                </pic:pic>
              </a:graphicData>
            </a:graphic>
          </wp:inline>
        </w:drawing>
      </w:r>
    </w:p>
    <w:p>
      <w:pPr>
        <w:pStyle w:val="5"/>
        <w:rPr>
          <w:rFonts w:hint="eastAsia"/>
          <w:lang w:eastAsia="zh-CN"/>
        </w:rPr>
      </w:pPr>
      <w:r>
        <w:rPr>
          <w:rFonts w:hint="eastAsia"/>
          <w:lang w:eastAsia="zh-CN"/>
        </w:rPr>
        <w:drawing>
          <wp:inline distT="0" distB="0" distL="114300" distR="114300">
            <wp:extent cx="5400040" cy="7314565"/>
            <wp:effectExtent l="0" t="0" r="10160" b="635"/>
            <wp:docPr id="45" name="图片 45" descr="167688245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76882455731"/>
                    <pic:cNvPicPr>
                      <a:picLocks noChangeAspect="1"/>
                    </pic:cNvPicPr>
                  </pic:nvPicPr>
                  <pic:blipFill>
                    <a:blip r:embed="rId28"/>
                    <a:stretch>
                      <a:fillRect/>
                    </a:stretch>
                  </pic:blipFill>
                  <pic:spPr>
                    <a:xfrm>
                      <a:off x="0" y="0"/>
                      <a:ext cx="5400040" cy="7314565"/>
                    </a:xfrm>
                    <a:prstGeom prst="rect">
                      <a:avLst/>
                    </a:prstGeom>
                  </pic:spPr>
                </pic:pic>
              </a:graphicData>
            </a:graphic>
          </wp:inline>
        </w:drawing>
      </w:r>
    </w:p>
    <w:p>
      <w:pPr>
        <w:rPr>
          <w:rFonts w:hint="eastAsia"/>
          <w:lang w:eastAsia="zh-CN"/>
        </w:rPr>
      </w:pPr>
      <w:r>
        <w:rPr>
          <w:rFonts w:hint="eastAsia"/>
          <w:lang w:eastAsia="zh-CN"/>
        </w:rPr>
        <w:drawing>
          <wp:inline distT="0" distB="0" distL="114300" distR="114300">
            <wp:extent cx="5438775" cy="7639050"/>
            <wp:effectExtent l="0" t="0" r="9525" b="0"/>
            <wp:docPr id="46" name="图片 46" descr="167688248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76882483664"/>
                    <pic:cNvPicPr>
                      <a:picLocks noChangeAspect="1"/>
                    </pic:cNvPicPr>
                  </pic:nvPicPr>
                  <pic:blipFill>
                    <a:blip r:embed="rId29"/>
                    <a:stretch>
                      <a:fillRect/>
                    </a:stretch>
                  </pic:blipFill>
                  <pic:spPr>
                    <a:xfrm>
                      <a:off x="0" y="0"/>
                      <a:ext cx="5438775" cy="7639050"/>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5457825" cy="7038975"/>
            <wp:effectExtent l="0" t="0" r="9525" b="9525"/>
            <wp:docPr id="47" name="图片 47" descr="167688249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76882498676"/>
                    <pic:cNvPicPr>
                      <a:picLocks noChangeAspect="1"/>
                    </pic:cNvPicPr>
                  </pic:nvPicPr>
                  <pic:blipFill>
                    <a:blip r:embed="rId30"/>
                    <a:stretch>
                      <a:fillRect/>
                    </a:stretch>
                  </pic:blipFill>
                  <pic:spPr>
                    <a:xfrm>
                      <a:off x="0" y="0"/>
                      <a:ext cx="5457825" cy="7038975"/>
                    </a:xfrm>
                    <a:prstGeom prst="rect">
                      <a:avLst/>
                    </a:prstGeom>
                  </pic:spPr>
                </pic:pic>
              </a:graphicData>
            </a:graphic>
          </wp:inline>
        </w:drawing>
      </w:r>
    </w:p>
    <w:p>
      <w:pPr>
        <w:pStyle w:val="3"/>
        <w:rPr>
          <w:rFonts w:hint="eastAsia"/>
          <w:lang w:eastAsia="zh-CN"/>
        </w:rPr>
      </w:pPr>
      <w:r>
        <w:rPr>
          <w:rFonts w:hint="eastAsia"/>
          <w:lang w:eastAsia="zh-CN"/>
        </w:rPr>
        <w:drawing>
          <wp:inline distT="0" distB="0" distL="114300" distR="114300">
            <wp:extent cx="5657215" cy="7781925"/>
            <wp:effectExtent l="0" t="0" r="635" b="9525"/>
            <wp:docPr id="48" name="图片 48" descr="167688251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76882514281"/>
                    <pic:cNvPicPr>
                      <a:picLocks noChangeAspect="1"/>
                    </pic:cNvPicPr>
                  </pic:nvPicPr>
                  <pic:blipFill>
                    <a:blip r:embed="rId31"/>
                    <a:stretch>
                      <a:fillRect/>
                    </a:stretch>
                  </pic:blipFill>
                  <pic:spPr>
                    <a:xfrm>
                      <a:off x="0" y="0"/>
                      <a:ext cx="5657215" cy="7781925"/>
                    </a:xfrm>
                    <a:prstGeom prst="rect">
                      <a:avLst/>
                    </a:prstGeom>
                  </pic:spPr>
                </pic:pic>
              </a:graphicData>
            </a:graphic>
          </wp:inline>
        </w:drawing>
      </w:r>
    </w:p>
    <w:p>
      <w:pPr>
        <w:pStyle w:val="4"/>
        <w:rPr>
          <w:rFonts w:hint="eastAsia"/>
          <w:lang w:eastAsia="zh-CN"/>
        </w:rPr>
      </w:pPr>
      <w:r>
        <w:rPr>
          <w:rFonts w:hint="eastAsia"/>
          <w:lang w:eastAsia="zh-CN"/>
        </w:rPr>
        <w:drawing>
          <wp:inline distT="0" distB="0" distL="114300" distR="114300">
            <wp:extent cx="5314950" cy="7552690"/>
            <wp:effectExtent l="0" t="0" r="0" b="10160"/>
            <wp:docPr id="49" name="图片 49" descr="167688258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76882586662"/>
                    <pic:cNvPicPr>
                      <a:picLocks noChangeAspect="1"/>
                    </pic:cNvPicPr>
                  </pic:nvPicPr>
                  <pic:blipFill>
                    <a:blip r:embed="rId32"/>
                    <a:stretch>
                      <a:fillRect/>
                    </a:stretch>
                  </pic:blipFill>
                  <pic:spPr>
                    <a:xfrm>
                      <a:off x="0" y="0"/>
                      <a:ext cx="5314950" cy="7552690"/>
                    </a:xfrm>
                    <a:prstGeom prst="rect">
                      <a:avLst/>
                    </a:prstGeom>
                  </pic:spPr>
                </pic:pic>
              </a:graphicData>
            </a:graphic>
          </wp:inline>
        </w:drawing>
      </w:r>
    </w:p>
    <w:p>
      <w:pPr>
        <w:pStyle w:val="5"/>
      </w:pPr>
      <w:r>
        <w:drawing>
          <wp:inline distT="0" distB="0" distL="114300" distR="114300">
            <wp:extent cx="5581015" cy="7848600"/>
            <wp:effectExtent l="0" t="0" r="635" b="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33"/>
                    <a:stretch>
                      <a:fillRect/>
                    </a:stretch>
                  </pic:blipFill>
                  <pic:spPr>
                    <a:xfrm>
                      <a:off x="0" y="0"/>
                      <a:ext cx="5581015" cy="7848600"/>
                    </a:xfrm>
                    <a:prstGeom prst="rect">
                      <a:avLst/>
                    </a:prstGeom>
                    <a:noFill/>
                    <a:ln>
                      <a:noFill/>
                    </a:ln>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676265" cy="7915275"/>
            <wp:effectExtent l="0" t="0" r="635" b="9525"/>
            <wp:docPr id="51" name="图片 51" descr="167688272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76882723132"/>
                    <pic:cNvPicPr>
                      <a:picLocks noChangeAspect="1"/>
                    </pic:cNvPicPr>
                  </pic:nvPicPr>
                  <pic:blipFill>
                    <a:blip r:embed="rId34"/>
                    <a:stretch>
                      <a:fillRect/>
                    </a:stretch>
                  </pic:blipFill>
                  <pic:spPr>
                    <a:xfrm>
                      <a:off x="0" y="0"/>
                      <a:ext cx="5676265" cy="791527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4867275" cy="6438900"/>
            <wp:effectExtent l="0" t="0" r="9525" b="0"/>
            <wp:docPr id="52" name="图片 52" descr="16768827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76882737066"/>
                    <pic:cNvPicPr>
                      <a:picLocks noChangeAspect="1"/>
                    </pic:cNvPicPr>
                  </pic:nvPicPr>
                  <pic:blipFill>
                    <a:blip r:embed="rId35"/>
                    <a:stretch>
                      <a:fillRect/>
                    </a:stretch>
                  </pic:blipFill>
                  <pic:spPr>
                    <a:xfrm>
                      <a:off x="0" y="0"/>
                      <a:ext cx="4867275" cy="6438900"/>
                    </a:xfrm>
                    <a:prstGeom prst="rect">
                      <a:avLst/>
                    </a:prstGeom>
                  </pic:spPr>
                </pic:pic>
              </a:graphicData>
            </a:graphic>
          </wp:inline>
        </w:drawing>
      </w:r>
    </w:p>
    <w:p>
      <w:pPr>
        <w:pStyle w:val="3"/>
        <w:rPr>
          <w:rFonts w:hint="eastAsia"/>
          <w:lang w:eastAsia="zh-CN"/>
        </w:rPr>
      </w:pPr>
      <w:r>
        <w:rPr>
          <w:rFonts w:hint="eastAsia"/>
          <w:lang w:eastAsia="zh-CN"/>
        </w:rPr>
        <w:drawing>
          <wp:inline distT="0" distB="0" distL="114300" distR="114300">
            <wp:extent cx="5495925" cy="7553325"/>
            <wp:effectExtent l="0" t="0" r="9525" b="9525"/>
            <wp:docPr id="53" name="图片 53" descr="167688276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76882760679"/>
                    <pic:cNvPicPr>
                      <a:picLocks noChangeAspect="1"/>
                    </pic:cNvPicPr>
                  </pic:nvPicPr>
                  <pic:blipFill>
                    <a:blip r:embed="rId36"/>
                    <a:stretch>
                      <a:fillRect/>
                    </a:stretch>
                  </pic:blipFill>
                  <pic:spPr>
                    <a:xfrm>
                      <a:off x="0" y="0"/>
                      <a:ext cx="5495925" cy="7553325"/>
                    </a:xfrm>
                    <a:prstGeom prst="rect">
                      <a:avLst/>
                    </a:prstGeom>
                  </pic:spPr>
                </pic:pic>
              </a:graphicData>
            </a:graphic>
          </wp:inline>
        </w:drawing>
      </w:r>
    </w:p>
    <w:p>
      <w:pPr>
        <w:pStyle w:val="4"/>
        <w:rPr>
          <w:rFonts w:hint="eastAsia"/>
          <w:lang w:eastAsia="zh-CN"/>
        </w:rPr>
      </w:pPr>
      <w:r>
        <w:rPr>
          <w:rFonts w:hint="eastAsia"/>
          <w:lang w:eastAsia="zh-CN"/>
        </w:rPr>
        <w:drawing>
          <wp:inline distT="0" distB="0" distL="114300" distR="114300">
            <wp:extent cx="5391150" cy="7705090"/>
            <wp:effectExtent l="0" t="0" r="0" b="10160"/>
            <wp:docPr id="54" name="图片 54" descr="167688277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76882777432"/>
                    <pic:cNvPicPr>
                      <a:picLocks noChangeAspect="1"/>
                    </pic:cNvPicPr>
                  </pic:nvPicPr>
                  <pic:blipFill>
                    <a:blip r:embed="rId37"/>
                    <a:stretch>
                      <a:fillRect/>
                    </a:stretch>
                  </pic:blipFill>
                  <pic:spPr>
                    <a:xfrm>
                      <a:off x="0" y="0"/>
                      <a:ext cx="5391150" cy="7705090"/>
                    </a:xfrm>
                    <a:prstGeom prst="rect">
                      <a:avLst/>
                    </a:prstGeom>
                  </pic:spPr>
                </pic:pic>
              </a:graphicData>
            </a:graphic>
          </wp:inline>
        </w:drawing>
      </w:r>
    </w:p>
    <w:p>
      <w:pPr>
        <w:pStyle w:val="5"/>
        <w:rPr>
          <w:rFonts w:hint="eastAsia"/>
          <w:lang w:eastAsia="zh-CN"/>
        </w:rPr>
      </w:pPr>
      <w:r>
        <w:rPr>
          <w:rFonts w:hint="eastAsia"/>
          <w:lang w:eastAsia="zh-CN"/>
        </w:rPr>
        <w:drawing>
          <wp:inline distT="0" distB="0" distL="114300" distR="114300">
            <wp:extent cx="5361940" cy="7095490"/>
            <wp:effectExtent l="0" t="0" r="10160" b="10160"/>
            <wp:docPr id="55" name="图片 55" descr="167688279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76882793083"/>
                    <pic:cNvPicPr>
                      <a:picLocks noChangeAspect="1"/>
                    </pic:cNvPicPr>
                  </pic:nvPicPr>
                  <pic:blipFill>
                    <a:blip r:embed="rId38"/>
                    <a:stretch>
                      <a:fillRect/>
                    </a:stretch>
                  </pic:blipFill>
                  <pic:spPr>
                    <a:xfrm>
                      <a:off x="0" y="0"/>
                      <a:ext cx="5361940" cy="7095490"/>
                    </a:xfrm>
                    <a:prstGeom prst="rect">
                      <a:avLst/>
                    </a:prstGeom>
                  </pic:spPr>
                </pic:pic>
              </a:graphicData>
            </a:graphic>
          </wp:inline>
        </w:drawing>
      </w:r>
    </w:p>
    <w:p>
      <w:pPr>
        <w:pStyle w:val="5"/>
      </w:pPr>
    </w:p>
    <w:p/>
    <w:p>
      <w:pPr>
        <w:pStyle w:val="2"/>
      </w:pPr>
    </w:p>
    <w:p>
      <w:pPr>
        <w:pStyle w:val="3"/>
      </w:pPr>
    </w:p>
    <w:p>
      <w:pPr>
        <w:pStyle w:val="4"/>
      </w:pPr>
    </w:p>
    <w:p>
      <w:pPr>
        <w:pStyle w:val="5"/>
      </w:pPr>
    </w:p>
    <w:p/>
    <w:p>
      <w:pPr>
        <w:pStyle w:val="4"/>
        <w:keepNext w:val="0"/>
        <w:keepLines w:val="0"/>
        <w:pageBreakBefore w:val="0"/>
        <w:widowControl/>
        <w:kinsoku/>
        <w:wordWrap/>
        <w:overflowPunct/>
        <w:topLinePunct w:val="0"/>
        <w:autoSpaceDE/>
        <w:autoSpaceDN/>
        <w:bidi w:val="0"/>
        <w:adjustRightInd/>
        <w:snapToGrid/>
        <w:spacing w:before="0" w:after="0" w:line="360" w:lineRule="auto"/>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监测报告数据显示，土壤污染监测因子及地下水监测因子符合要求，各污染物浓度均符合《地下水质量标准》（GB/T14848-2017） III类 标准限值要求。</w:t>
      </w:r>
    </w:p>
    <w:p>
      <w:pPr>
        <w:pStyle w:val="6"/>
        <w:bidi w:val="0"/>
        <w:rPr>
          <w:rFonts w:hint="eastAsia" w:ascii="Times New Roman" w:hAnsi="Times New Roman" w:cs="Times New Roman"/>
          <w:szCs w:val="22"/>
          <w:lang w:val="en-US" w:eastAsia="zh-CN"/>
        </w:rPr>
      </w:pPr>
      <w:bookmarkStart w:id="43" w:name="_Toc15211"/>
      <w:bookmarkStart w:id="44" w:name="_Toc17134"/>
      <w:r>
        <w:rPr>
          <w:rFonts w:hint="eastAsia" w:ascii="Times New Roman" w:hAnsi="Times New Roman" w:cs="Times New Roman"/>
          <w:szCs w:val="22"/>
          <w:lang w:val="en-US" w:eastAsia="zh-CN"/>
        </w:rPr>
        <w:t>5 污染物排放情况</w:t>
      </w:r>
      <w:bookmarkEnd w:id="43"/>
      <w:bookmarkEnd w:id="44"/>
    </w:p>
    <w:p>
      <w:pPr>
        <w:pStyle w:val="7"/>
        <w:bidi w:val="0"/>
        <w:rPr>
          <w:rFonts w:hint="eastAsia" w:cs="Times New Roman"/>
          <w:lang w:val="en-US" w:eastAsia="zh-CN"/>
        </w:rPr>
      </w:pPr>
      <w:bookmarkStart w:id="45" w:name="_Toc1293"/>
      <w:bookmarkStart w:id="46" w:name="_Toc23690"/>
      <w:r>
        <w:rPr>
          <w:rFonts w:hint="eastAsia" w:cs="Times New Roman"/>
          <w:lang w:val="en-US" w:eastAsia="zh-CN"/>
        </w:rPr>
        <w:t>5.1 废水</w:t>
      </w:r>
      <w:bookmarkEnd w:id="45"/>
      <w:bookmarkEnd w:id="46"/>
    </w:p>
    <w:p>
      <w:pPr>
        <w:pStyle w:val="3"/>
        <w:spacing w:after="0" w:line="360" w:lineRule="auto"/>
        <w:outlineLvl w:val="1"/>
        <w:rPr>
          <w:rFonts w:ascii="微软雅黑" w:hAnsi="微软雅黑" w:eastAsia="微软雅黑" w:cs="微软雅黑"/>
          <w:szCs w:val="21"/>
        </w:rPr>
      </w:pPr>
      <w:bookmarkStart w:id="47" w:name="_Toc15309"/>
      <w:bookmarkStart w:id="48" w:name="_Toc19122"/>
      <w:bookmarkStart w:id="49" w:name="_Toc10634"/>
      <w:bookmarkStart w:id="50" w:name="_Toc1485"/>
      <w:bookmarkStart w:id="51" w:name="_Toc24689"/>
      <w:bookmarkStart w:id="52" w:name="_Toc9608"/>
      <w:r>
        <w:rPr>
          <w:rFonts w:hint="eastAsia" w:ascii="微软雅黑" w:hAnsi="微软雅黑" w:eastAsia="微软雅黑" w:cs="微软雅黑"/>
          <w:szCs w:val="21"/>
        </w:rPr>
        <w:t>依据废水在线监测及第三方季度监测报告提供的数据，202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年废水总排放量1586416.839吨（包括安阳盈德气体有限公司，详见废水在线监测报表）其中安阳中盈化肥有限公司特征污染物及排放量如下：</w:t>
      </w:r>
      <w:bookmarkEnd w:id="47"/>
      <w:bookmarkEnd w:id="48"/>
      <w:bookmarkEnd w:id="49"/>
    </w:p>
    <w:tbl>
      <w:tblPr>
        <w:tblStyle w:val="20"/>
        <w:tblpPr w:leftFromText="180" w:rightFromText="180" w:vertAnchor="text" w:horzAnchor="page" w:tblpX="1017" w:tblpY="60"/>
        <w:tblOverlap w:val="never"/>
        <w:tblW w:w="5000" w:type="pct"/>
        <w:tblInd w:w="0" w:type="dxa"/>
        <w:tblLayout w:type="fixed"/>
        <w:tblCellMar>
          <w:top w:w="0" w:type="dxa"/>
          <w:left w:w="0" w:type="dxa"/>
          <w:bottom w:w="0" w:type="dxa"/>
          <w:right w:w="0" w:type="dxa"/>
        </w:tblCellMar>
      </w:tblPr>
      <w:tblGrid>
        <w:gridCol w:w="1516"/>
        <w:gridCol w:w="1221"/>
        <w:gridCol w:w="1221"/>
        <w:gridCol w:w="2586"/>
        <w:gridCol w:w="2707"/>
        <w:gridCol w:w="643"/>
      </w:tblGrid>
      <w:tr>
        <w:tblPrEx>
          <w:tblCellMar>
            <w:top w:w="0" w:type="dxa"/>
            <w:left w:w="0" w:type="dxa"/>
            <w:bottom w:w="0" w:type="dxa"/>
            <w:right w:w="0" w:type="dxa"/>
          </w:tblCellMar>
        </w:tblPrEx>
        <w:trPr>
          <w:trHeight w:val="66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安阳中盈202</w:t>
            </w:r>
            <w:r>
              <w:rPr>
                <w:rFonts w:hint="eastAsia" w:ascii="微软雅黑" w:hAnsi="微软雅黑" w:eastAsia="微软雅黑" w:cs="微软雅黑"/>
                <w:b/>
                <w:bCs/>
                <w:color w:val="000000"/>
                <w:kern w:val="0"/>
                <w:sz w:val="20"/>
                <w:lang w:val="en-US" w:eastAsia="zh-CN" w:bidi="ar"/>
              </w:rPr>
              <w:t>2</w:t>
            </w:r>
            <w:r>
              <w:rPr>
                <w:rFonts w:hint="eastAsia" w:ascii="微软雅黑" w:hAnsi="微软雅黑" w:eastAsia="微软雅黑" w:cs="微软雅黑"/>
                <w:b/>
                <w:bCs/>
                <w:color w:val="000000"/>
                <w:kern w:val="0"/>
                <w:sz w:val="20"/>
                <w:lang w:bidi="ar"/>
              </w:rPr>
              <w:t xml:space="preserve">年环保特征污染物排放量 </w:t>
            </w:r>
          </w:p>
        </w:tc>
      </w:tr>
      <w:tr>
        <w:tblPrEx>
          <w:tblCellMar>
            <w:top w:w="0" w:type="dxa"/>
            <w:left w:w="0" w:type="dxa"/>
            <w:bottom w:w="0" w:type="dxa"/>
            <w:right w:w="0" w:type="dxa"/>
          </w:tblCellMar>
        </w:tblPrEx>
        <w:trPr>
          <w:trHeight w:val="624" w:hRule="atLeast"/>
        </w:trPr>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排放口名称</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污染物类别</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污染物名称</w:t>
            </w:r>
          </w:p>
        </w:tc>
        <w:tc>
          <w:tcPr>
            <w:tcW w:w="130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污染物排放量计算方法</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污染物排放量（千克）</w:t>
            </w:r>
          </w:p>
        </w:tc>
        <w:tc>
          <w:tcPr>
            <w:tcW w:w="32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备注</w:t>
            </w:r>
          </w:p>
        </w:tc>
      </w:tr>
      <w:tr>
        <w:tblPrEx>
          <w:tblCellMar>
            <w:top w:w="0" w:type="dxa"/>
            <w:left w:w="0" w:type="dxa"/>
            <w:bottom w:w="0" w:type="dxa"/>
            <w:right w:w="0" w:type="dxa"/>
          </w:tblCellMar>
        </w:tblPrEx>
        <w:trPr>
          <w:trHeight w:val="624" w:hRule="atLeast"/>
        </w:trPr>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b/>
                <w:color w:val="000000"/>
                <w:sz w:val="20"/>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b/>
                <w:color w:val="000000"/>
                <w:sz w:val="20"/>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b/>
                <w:color w:val="000000"/>
                <w:sz w:val="20"/>
              </w:rPr>
            </w:pPr>
          </w:p>
        </w:tc>
        <w:tc>
          <w:tcPr>
            <w:tcW w:w="130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微软雅黑" w:hAnsi="微软雅黑" w:eastAsia="微软雅黑" w:cs="微软雅黑"/>
                <w:b/>
                <w:color w:val="000000"/>
                <w:sz w:val="20"/>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微软雅黑" w:hAnsi="微软雅黑" w:eastAsia="微软雅黑" w:cs="微软雅黑"/>
                <w:b/>
                <w:color w:val="000000"/>
                <w:sz w:val="20"/>
              </w:rPr>
            </w:pPr>
          </w:p>
        </w:tc>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color w:val="000000"/>
                <w:sz w:val="20"/>
              </w:rPr>
            </w:pPr>
          </w:p>
        </w:tc>
      </w:tr>
      <w:tr>
        <w:tblPrEx>
          <w:tblCellMar>
            <w:top w:w="0" w:type="dxa"/>
            <w:left w:w="0" w:type="dxa"/>
            <w:bottom w:w="0" w:type="dxa"/>
            <w:right w:w="0" w:type="dxa"/>
          </w:tblCellMar>
        </w:tblPrEx>
        <w:trPr>
          <w:trHeight w:val="330"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废水总排口</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COD</w:t>
            </w:r>
          </w:p>
        </w:tc>
        <w:tc>
          <w:tcPr>
            <w:tcW w:w="13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自动监测</w:t>
            </w:r>
          </w:p>
        </w:tc>
        <w:tc>
          <w:tcPr>
            <w:tcW w:w="1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14709.46</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lang w:val="en-US" w:eastAsia="zh-CN"/>
              </w:rPr>
            </w:pPr>
          </w:p>
          <w:p>
            <w:pPr>
              <w:pStyle w:val="2"/>
              <w:rPr>
                <w:rFonts w:hint="default"/>
                <w:lang w:val="en-US" w:eastAsia="zh-CN"/>
              </w:rPr>
            </w:pPr>
          </w:p>
        </w:tc>
      </w:tr>
      <w:tr>
        <w:tblPrEx>
          <w:tblCellMar>
            <w:top w:w="0" w:type="dxa"/>
            <w:left w:w="0" w:type="dxa"/>
            <w:bottom w:w="0" w:type="dxa"/>
            <w:right w:w="0" w:type="dxa"/>
          </w:tblCellMar>
        </w:tblPrEx>
        <w:trPr>
          <w:trHeight w:val="330"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废水总排口</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氨氮</w:t>
            </w:r>
          </w:p>
        </w:tc>
        <w:tc>
          <w:tcPr>
            <w:tcW w:w="13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自动监测</w:t>
            </w:r>
          </w:p>
        </w:tc>
        <w:tc>
          <w:tcPr>
            <w:tcW w:w="1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64.1</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pPr>
          </w:p>
          <w:p>
            <w:pPr>
              <w:pStyle w:val="2"/>
            </w:pPr>
          </w:p>
        </w:tc>
      </w:tr>
      <w:tr>
        <w:tblPrEx>
          <w:tblCellMar>
            <w:top w:w="0" w:type="dxa"/>
            <w:left w:w="0" w:type="dxa"/>
            <w:bottom w:w="0" w:type="dxa"/>
            <w:right w:w="0" w:type="dxa"/>
          </w:tblCellMar>
        </w:tblPrEx>
        <w:trPr>
          <w:trHeight w:val="330"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废水总排口</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SS</w:t>
            </w:r>
          </w:p>
        </w:tc>
        <w:tc>
          <w:tcPr>
            <w:tcW w:w="13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监测机构监测</w:t>
            </w:r>
          </w:p>
        </w:tc>
        <w:tc>
          <w:tcPr>
            <w:tcW w:w="1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11572.15</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pPr>
          </w:p>
          <w:p>
            <w:pPr>
              <w:pStyle w:val="2"/>
            </w:pPr>
          </w:p>
        </w:tc>
      </w:tr>
      <w:tr>
        <w:tblPrEx>
          <w:tblCellMar>
            <w:top w:w="0" w:type="dxa"/>
            <w:left w:w="0" w:type="dxa"/>
            <w:bottom w:w="0" w:type="dxa"/>
            <w:right w:w="0" w:type="dxa"/>
          </w:tblCellMar>
        </w:tblPrEx>
        <w:trPr>
          <w:trHeight w:val="330"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kern w:val="0"/>
                <w:sz w:val="20"/>
                <w:lang w:bidi="ar"/>
              </w:rPr>
            </w:pPr>
            <w:r>
              <w:rPr>
                <w:rFonts w:hint="eastAsia" w:ascii="微软雅黑" w:hAnsi="微软雅黑" w:eastAsia="微软雅黑" w:cs="微软雅黑"/>
                <w:color w:val="000000"/>
                <w:kern w:val="0"/>
                <w:sz w:val="20"/>
                <w:lang w:bidi="ar"/>
              </w:rPr>
              <w:t>废水总排口</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kern w:val="0"/>
                <w:sz w:val="20"/>
                <w:lang w:bidi="ar"/>
              </w:rPr>
            </w:pPr>
            <w:r>
              <w:rPr>
                <w:rFonts w:hint="eastAsia" w:ascii="微软雅黑" w:hAnsi="微软雅黑" w:eastAsia="微软雅黑" w:cs="微软雅黑"/>
                <w:color w:val="000000"/>
                <w:kern w:val="0"/>
                <w:sz w:val="20"/>
                <w:lang w:bidi="ar"/>
              </w:rPr>
              <w:t>废水</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kern w:val="0"/>
                <w:sz w:val="20"/>
                <w:lang w:bidi="ar"/>
              </w:rPr>
            </w:pPr>
            <w:r>
              <w:rPr>
                <w:rFonts w:hint="eastAsia" w:ascii="微软雅黑" w:hAnsi="微软雅黑" w:eastAsia="微软雅黑" w:cs="微软雅黑"/>
                <w:color w:val="000000"/>
                <w:kern w:val="0"/>
                <w:sz w:val="20"/>
                <w:lang w:bidi="ar"/>
              </w:rPr>
              <w:t>总氮</w:t>
            </w:r>
          </w:p>
        </w:tc>
        <w:tc>
          <w:tcPr>
            <w:tcW w:w="13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自动监测</w:t>
            </w:r>
          </w:p>
        </w:tc>
        <w:tc>
          <w:tcPr>
            <w:tcW w:w="1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3422.48</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pPr>
          </w:p>
          <w:p>
            <w:pPr>
              <w:pStyle w:val="2"/>
            </w:pPr>
          </w:p>
        </w:tc>
      </w:tr>
      <w:bookmarkEnd w:id="50"/>
    </w:tbl>
    <w:p>
      <w:pPr>
        <w:pStyle w:val="2"/>
        <w:ind w:left="0" w:leftChars="0" w:right="1470"/>
        <w:rPr>
          <w:rFonts w:hint="eastAsia" w:eastAsia="宋体"/>
          <w:lang w:val="en-US" w:eastAsia="zh-CN"/>
        </w:rPr>
      </w:pPr>
      <w:r>
        <w:rPr>
          <w:rFonts w:hint="eastAsia"/>
        </w:rPr>
        <w:t>备注：安阳中盈化肥有限公司</w:t>
      </w:r>
      <w:r>
        <w:rPr>
          <w:rFonts w:hint="eastAsia"/>
          <w:lang w:val="en-US" w:eastAsia="zh-CN"/>
        </w:rPr>
        <w:t>安阳盈德气体有限公司</w:t>
      </w:r>
      <w:r>
        <w:rPr>
          <w:rFonts w:hint="eastAsia"/>
        </w:rPr>
        <w:t>污染物总排放量</w:t>
      </w:r>
      <w:r>
        <w:rPr>
          <w:rFonts w:hint="eastAsia"/>
          <w:lang w:val="en-US" w:eastAsia="zh-CN"/>
        </w:rPr>
        <w:t>合计。</w:t>
      </w:r>
    </w:p>
    <w:p>
      <w:pPr>
        <w:pStyle w:val="7"/>
        <w:bidi w:val="0"/>
        <w:rPr>
          <w:rFonts w:hint="default" w:cs="Times New Roman"/>
          <w:lang w:val="en-US" w:eastAsia="zh-CN"/>
        </w:rPr>
      </w:pPr>
      <w:r>
        <w:rPr>
          <w:rFonts w:hint="default" w:cs="Times New Roman"/>
          <w:lang w:val="en-US" w:eastAsia="zh-CN"/>
        </w:rPr>
        <w:t>5.</w:t>
      </w:r>
      <w:r>
        <w:rPr>
          <w:rFonts w:hint="eastAsia" w:cs="Times New Roman"/>
          <w:lang w:val="en-US" w:eastAsia="zh-CN"/>
        </w:rPr>
        <w:t>2</w:t>
      </w:r>
      <w:r>
        <w:rPr>
          <w:rFonts w:hint="default" w:cs="Times New Roman"/>
          <w:lang w:val="en-US" w:eastAsia="zh-CN"/>
        </w:rPr>
        <w:t>废气</w:t>
      </w:r>
      <w:bookmarkEnd w:id="51"/>
      <w:bookmarkEnd w:id="52"/>
    </w:p>
    <w:p>
      <w:pPr>
        <w:pStyle w:val="4"/>
        <w:keepNext w:val="0"/>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依据废气在线监测及第三方季度监测报告提供的数据，2021年废气特征污染物及排放量如下：</w:t>
      </w:r>
    </w:p>
    <w:tbl>
      <w:tblPr>
        <w:tblStyle w:val="20"/>
        <w:tblW w:w="9825" w:type="dxa"/>
        <w:tblInd w:w="0" w:type="dxa"/>
        <w:shd w:val="clear" w:color="auto" w:fill="auto"/>
        <w:tblLayout w:type="autofit"/>
        <w:tblCellMar>
          <w:top w:w="0" w:type="dxa"/>
          <w:left w:w="0" w:type="dxa"/>
          <w:bottom w:w="0" w:type="dxa"/>
          <w:right w:w="0" w:type="dxa"/>
        </w:tblCellMar>
      </w:tblPr>
      <w:tblGrid>
        <w:gridCol w:w="1335"/>
        <w:gridCol w:w="1995"/>
        <w:gridCol w:w="1425"/>
        <w:gridCol w:w="2130"/>
        <w:gridCol w:w="2940"/>
      </w:tblGrid>
      <w:tr>
        <w:tblPrEx>
          <w:shd w:val="clear" w:color="auto" w:fill="auto"/>
          <w:tblCellMar>
            <w:top w:w="0" w:type="dxa"/>
            <w:left w:w="0" w:type="dxa"/>
            <w:bottom w:w="0" w:type="dxa"/>
            <w:right w:w="0" w:type="dxa"/>
          </w:tblCellMar>
        </w:tblPrEx>
        <w:trPr>
          <w:trHeight w:val="270" w:hRule="atLeast"/>
        </w:trPr>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排放口名称</w:t>
            </w:r>
          </w:p>
        </w:tc>
        <w:tc>
          <w:tcPr>
            <w:tcW w:w="199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征收品目</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征收子目</w:t>
            </w: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污染物排放量计算方法</w:t>
            </w:r>
          </w:p>
        </w:tc>
        <w:tc>
          <w:tcPr>
            <w:tcW w:w="294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污染物排放量（千克）</w:t>
            </w:r>
          </w:p>
        </w:tc>
      </w:tr>
      <w:tr>
        <w:tblPrEx>
          <w:tblCellMar>
            <w:top w:w="0" w:type="dxa"/>
            <w:left w:w="0" w:type="dxa"/>
            <w:bottom w:w="0" w:type="dxa"/>
            <w:right w:w="0" w:type="dxa"/>
          </w:tblCellMar>
        </w:tblPrEx>
        <w:trPr>
          <w:trHeight w:val="270" w:hRule="atLeast"/>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19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29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硫回收区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二氧化硫（气）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二氧化硫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437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硫回收区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氮氧化物（气）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氮氧化物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1837.7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硫回收区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一般性粉尘（气）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颗粒物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255.32</w:t>
            </w:r>
          </w:p>
        </w:tc>
      </w:tr>
      <w:tr>
        <w:tblPrEx>
          <w:tblCellMar>
            <w:top w:w="0" w:type="dxa"/>
            <w:left w:w="0" w:type="dxa"/>
            <w:bottom w:w="0" w:type="dxa"/>
            <w:right w:w="0" w:type="dxa"/>
          </w:tblCellMar>
        </w:tblPrEx>
        <w:trPr>
          <w:trHeight w:val="54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原煤储运及煤浆制备区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一般性粉尘（气）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颗粒物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监测机构监测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2042.83</w:t>
            </w:r>
          </w:p>
        </w:tc>
      </w:tr>
    </w:tbl>
    <w:p>
      <w:pPr>
        <w:pStyle w:val="7"/>
        <w:bidi w:val="0"/>
        <w:rPr>
          <w:rFonts w:hint="eastAsia" w:cs="Times New Roman"/>
          <w:lang w:val="en-US" w:eastAsia="zh-CN"/>
        </w:rPr>
      </w:pPr>
    </w:p>
    <w:p>
      <w:pPr>
        <w:pStyle w:val="7"/>
        <w:bidi w:val="0"/>
        <w:rPr>
          <w:rFonts w:hint="default" w:cs="Times New Roman"/>
          <w:lang w:val="en-US" w:eastAsia="zh-CN"/>
        </w:rPr>
      </w:pPr>
      <w:bookmarkStart w:id="53" w:name="_Toc25390"/>
      <w:bookmarkStart w:id="54" w:name="_Toc28590"/>
      <w:r>
        <w:rPr>
          <w:rFonts w:hint="default" w:cs="Times New Roman"/>
          <w:lang w:val="en-US" w:eastAsia="zh-CN"/>
        </w:rPr>
        <w:t>5.</w:t>
      </w:r>
      <w:r>
        <w:rPr>
          <w:rFonts w:hint="eastAsia" w:cs="Times New Roman"/>
          <w:lang w:val="en-US" w:eastAsia="zh-CN"/>
        </w:rPr>
        <w:t>3</w:t>
      </w:r>
      <w:r>
        <w:rPr>
          <w:rFonts w:hint="default" w:cs="Times New Roman"/>
          <w:lang w:val="en-US" w:eastAsia="zh-CN"/>
        </w:rPr>
        <w:t xml:space="preserve"> 固废</w:t>
      </w:r>
      <w:bookmarkEnd w:id="53"/>
      <w:bookmarkEnd w:id="54"/>
    </w:p>
    <w:p>
      <w:pPr>
        <w:pStyle w:val="3"/>
        <w:pageBreakBefore w:val="0"/>
        <w:widowControl w:val="0"/>
        <w:kinsoku/>
        <w:wordWrap/>
        <w:overflowPunct/>
        <w:topLinePunct w:val="0"/>
        <w:autoSpaceDE/>
        <w:autoSpaceDN/>
        <w:bidi w:val="0"/>
        <w:adjustRightInd/>
        <w:snapToGrid/>
        <w:spacing w:after="0" w:afterLines="0" w:line="360" w:lineRule="auto"/>
        <w:ind w:firstLine="420" w:firstLineChars="200"/>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安阳盈德主要固体废物是灰渣及生活垃圾，2022年公司固废排放综合利用情况如下：</w:t>
      </w:r>
    </w:p>
    <w:tbl>
      <w:tblPr>
        <w:tblStyle w:val="20"/>
        <w:tblW w:w="5104" w:type="pct"/>
        <w:tblInd w:w="0" w:type="dxa"/>
        <w:shd w:val="clear" w:color="auto" w:fill="auto"/>
        <w:tblLayout w:type="fixed"/>
        <w:tblCellMar>
          <w:top w:w="0" w:type="dxa"/>
          <w:left w:w="0" w:type="dxa"/>
          <w:bottom w:w="0" w:type="dxa"/>
          <w:right w:w="0" w:type="dxa"/>
        </w:tblCellMar>
      </w:tblPr>
      <w:tblGrid>
        <w:gridCol w:w="439"/>
        <w:gridCol w:w="1260"/>
        <w:gridCol w:w="1260"/>
        <w:gridCol w:w="1672"/>
        <w:gridCol w:w="851"/>
        <w:gridCol w:w="1018"/>
        <w:gridCol w:w="1433"/>
        <w:gridCol w:w="2167"/>
      </w:tblGrid>
      <w:tr>
        <w:tblPrEx>
          <w:shd w:val="clear" w:color="auto" w:fill="auto"/>
          <w:tblCellMar>
            <w:top w:w="0" w:type="dxa"/>
            <w:left w:w="0" w:type="dxa"/>
            <w:bottom w:w="0" w:type="dxa"/>
            <w:right w:w="0" w:type="dxa"/>
          </w:tblCellMar>
        </w:tblPrEx>
        <w:trPr>
          <w:trHeight w:val="674"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2022年盈德气体危废/固废及回收利用率统计表</w:t>
            </w:r>
          </w:p>
        </w:tc>
      </w:tr>
      <w:tr>
        <w:tblPrEx>
          <w:shd w:val="clear" w:color="auto" w:fill="auto"/>
          <w:tblCellMar>
            <w:top w:w="0" w:type="dxa"/>
            <w:left w:w="0" w:type="dxa"/>
            <w:bottom w:w="0" w:type="dxa"/>
            <w:right w:w="0" w:type="dxa"/>
          </w:tblCellMar>
        </w:tblPrEx>
        <w:trPr>
          <w:trHeight w:val="983"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序号</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固体废物名称</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产生量（吨）</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回收利用量（吨）</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综合处置</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库存</w:t>
            </w:r>
          </w:p>
          <w:p>
            <w:pPr>
              <w:pStyle w:val="2"/>
              <w:rPr>
                <w:rFonts w:hint="eastAsia" w:ascii="微软雅黑" w:hAnsi="微软雅黑" w:eastAsia="微软雅黑" w:cs="微软雅黑"/>
                <w:sz w:val="20"/>
                <w:szCs w:val="20"/>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回收利用率</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备注</w:t>
            </w:r>
          </w:p>
        </w:tc>
      </w:tr>
      <w:tr>
        <w:tblPrEx>
          <w:shd w:val="clear" w:color="auto" w:fill="auto"/>
          <w:tblCellMar>
            <w:top w:w="0" w:type="dxa"/>
            <w:left w:w="0" w:type="dxa"/>
            <w:bottom w:w="0" w:type="dxa"/>
            <w:right w:w="0" w:type="dxa"/>
          </w:tblCellMar>
        </w:tblPrEx>
        <w:trPr>
          <w:trHeight w:val="84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灰渣</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eastAsia="zh-CN"/>
              </w:rPr>
            </w:pPr>
            <w:r>
              <w:rPr>
                <w:rFonts w:hint="eastAsia" w:ascii="微软雅黑" w:hAnsi="微软雅黑" w:eastAsia="微软雅黑" w:cs="微软雅黑"/>
                <w:i w:val="0"/>
                <w:color w:val="000000"/>
                <w:sz w:val="20"/>
                <w:szCs w:val="20"/>
                <w:u w:val="none"/>
                <w:lang w:val="en-US" w:eastAsia="zh-CN"/>
              </w:rPr>
              <w:t>80520</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78591</w:t>
            </w:r>
            <w:bookmarkStart w:id="58" w:name="_GoBack"/>
            <w:bookmarkEnd w:id="58"/>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0</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kern w:val="2"/>
                <w:sz w:val="20"/>
                <w:szCs w:val="20"/>
                <w:u w:val="none"/>
                <w:lang w:val="en-US" w:eastAsia="zh-CN" w:bidi="ar-SA"/>
              </w:rPr>
            </w:pPr>
            <w:r>
              <w:rPr>
                <w:rFonts w:hint="eastAsia" w:ascii="微软雅黑" w:hAnsi="微软雅黑" w:eastAsia="微软雅黑" w:cs="微软雅黑"/>
                <w:i w:val="0"/>
                <w:color w:val="000000"/>
                <w:kern w:val="0"/>
                <w:sz w:val="20"/>
                <w:szCs w:val="20"/>
                <w:u w:val="none"/>
                <w:lang w:val="en-US" w:eastAsia="zh-CN" w:bidi="ar"/>
              </w:rPr>
              <w:t>1929</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97.6%</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外售做建材</w:t>
            </w:r>
          </w:p>
        </w:tc>
      </w:tr>
      <w:tr>
        <w:tblPrEx>
          <w:shd w:val="clear" w:color="auto" w:fill="auto"/>
          <w:tblCellMar>
            <w:top w:w="0" w:type="dxa"/>
            <w:left w:w="0" w:type="dxa"/>
            <w:bottom w:w="0" w:type="dxa"/>
            <w:right w:w="0" w:type="dxa"/>
          </w:tblCellMar>
        </w:tblPrEx>
        <w:trPr>
          <w:trHeight w:val="84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污泥</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151.368</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151.368</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lang w:val="en-US" w:eastAsia="zh-CN"/>
              </w:rPr>
            </w:pPr>
            <w:r>
              <w:rPr>
                <w:rFonts w:hint="eastAsia" w:ascii="微软雅黑" w:hAnsi="微软雅黑" w:eastAsia="微软雅黑" w:cs="微软雅黑"/>
                <w:i w:val="0"/>
                <w:color w:val="000000"/>
                <w:sz w:val="20"/>
                <w:szCs w:val="20"/>
                <w:u w:val="none"/>
                <w:lang w:val="en-US" w:eastAsia="zh-CN"/>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100.00%</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污泥与原料煤掺烧，不外排环境</w:t>
            </w:r>
          </w:p>
        </w:tc>
      </w:tr>
      <w:tr>
        <w:tblPrEx>
          <w:shd w:val="clear" w:color="auto" w:fill="auto"/>
          <w:tblCellMar>
            <w:top w:w="0" w:type="dxa"/>
            <w:left w:w="0" w:type="dxa"/>
            <w:bottom w:w="0" w:type="dxa"/>
            <w:right w:w="0" w:type="dxa"/>
          </w:tblCellMar>
        </w:tblPrEx>
        <w:trPr>
          <w:trHeight w:val="84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3</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污水格栅废渣</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eastAsia="zh-CN"/>
              </w:rPr>
            </w:pPr>
            <w:r>
              <w:rPr>
                <w:rFonts w:hint="eastAsia" w:ascii="微软雅黑" w:hAnsi="微软雅黑" w:eastAsia="微软雅黑" w:cs="微软雅黑"/>
                <w:i w:val="0"/>
                <w:color w:val="000000"/>
                <w:sz w:val="20"/>
                <w:szCs w:val="20"/>
                <w:u w:val="none"/>
                <w:lang w:val="en-US" w:eastAsia="zh-CN"/>
              </w:rPr>
              <w:t>2.8</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0</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2.8</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lang w:val="en-US" w:eastAsia="zh-CN"/>
              </w:rPr>
            </w:pPr>
            <w:r>
              <w:rPr>
                <w:rFonts w:hint="eastAsia" w:ascii="微软雅黑" w:hAnsi="微软雅黑" w:eastAsia="微软雅黑" w:cs="微软雅黑"/>
                <w:i w:val="0"/>
                <w:color w:val="000000"/>
                <w:sz w:val="20"/>
                <w:szCs w:val="20"/>
                <w:u w:val="none"/>
                <w:lang w:val="en-US" w:eastAsia="zh-CN"/>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100%</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生活废水格栅渣至垃圾处理厂</w:t>
            </w:r>
          </w:p>
        </w:tc>
      </w:tr>
      <w:tr>
        <w:tblPrEx>
          <w:shd w:val="clear" w:color="auto" w:fill="auto"/>
          <w:tblCellMar>
            <w:top w:w="0" w:type="dxa"/>
            <w:left w:w="0" w:type="dxa"/>
            <w:bottom w:w="0" w:type="dxa"/>
            <w:right w:w="0" w:type="dxa"/>
          </w:tblCellMar>
        </w:tblPrEx>
        <w:trPr>
          <w:trHeight w:val="84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4</w:t>
            </w: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color w:val="000000"/>
                <w:kern w:val="0"/>
                <w:sz w:val="20"/>
                <w:szCs w:val="20"/>
                <w:u w:val="none"/>
                <w:lang w:val="en-US" w:eastAsia="zh-CN" w:bidi="ar"/>
              </w:rPr>
            </w:pPr>
            <w:r>
              <w:rPr>
                <w:rFonts w:hint="eastAsia" w:ascii="微软雅黑" w:hAnsi="微软雅黑" w:eastAsia="微软雅黑" w:cs="微软雅黑"/>
                <w:b w:val="0"/>
                <w:bCs w:val="0"/>
                <w:i w:val="0"/>
                <w:color w:val="000000"/>
                <w:kern w:val="0"/>
                <w:sz w:val="20"/>
                <w:szCs w:val="20"/>
                <w:u w:val="none"/>
                <w:lang w:val="en-US" w:eastAsia="zh-CN" w:bidi="ar"/>
              </w:rPr>
              <w:t>废润滑油</w:t>
            </w: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sz w:val="20"/>
                <w:szCs w:val="20"/>
                <w:u w:val="none"/>
                <w:lang w:val="en-US"/>
              </w:rPr>
            </w:pPr>
            <w:r>
              <w:rPr>
                <w:rFonts w:hint="eastAsia" w:ascii="微软雅黑" w:hAnsi="微软雅黑" w:eastAsia="微软雅黑" w:cs="微软雅黑"/>
                <w:b w:val="0"/>
                <w:bCs w:val="0"/>
                <w:i w:val="0"/>
                <w:color w:val="000000"/>
                <w:kern w:val="0"/>
                <w:sz w:val="20"/>
                <w:szCs w:val="20"/>
                <w:u w:val="none"/>
                <w:lang w:val="en-US" w:eastAsia="zh-CN" w:bidi="ar"/>
              </w:rPr>
              <w:t>9.638</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sz w:val="20"/>
                <w:szCs w:val="20"/>
                <w:u w:val="none"/>
                <w:lang w:val="en-US"/>
              </w:rPr>
            </w:pPr>
            <w:r>
              <w:rPr>
                <w:rFonts w:hint="eastAsia" w:ascii="微软雅黑" w:hAnsi="微软雅黑" w:eastAsia="微软雅黑" w:cs="微软雅黑"/>
                <w:b w:val="0"/>
                <w:bCs w:val="0"/>
                <w:i w:val="0"/>
                <w:color w:val="000000"/>
                <w:kern w:val="0"/>
                <w:sz w:val="20"/>
                <w:szCs w:val="20"/>
                <w:u w:val="none"/>
                <w:lang w:val="en-US" w:eastAsia="zh-CN" w:bidi="ar"/>
              </w:rPr>
              <w:t>12.1395</w:t>
            </w:r>
          </w:p>
        </w:tc>
        <w:tc>
          <w:tcPr>
            <w:tcW w:w="4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color w:val="000000"/>
                <w:sz w:val="20"/>
                <w:szCs w:val="20"/>
                <w:u w:val="none"/>
              </w:rPr>
            </w:pPr>
            <w:r>
              <w:rPr>
                <w:rFonts w:hint="eastAsia" w:ascii="微软雅黑" w:hAnsi="微软雅黑" w:eastAsia="微软雅黑" w:cs="微软雅黑"/>
                <w:b w:val="0"/>
                <w:bCs w:val="0"/>
                <w:i w:val="0"/>
                <w:color w:val="000000"/>
                <w:kern w:val="0"/>
                <w:sz w:val="20"/>
                <w:szCs w:val="20"/>
                <w:u w:val="none"/>
                <w:lang w:val="en-US" w:eastAsia="zh-CN" w:bidi="ar"/>
              </w:rPr>
              <w:t>0</w:t>
            </w:r>
          </w:p>
        </w:tc>
        <w:tc>
          <w:tcPr>
            <w:tcW w:w="5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sz w:val="20"/>
                <w:szCs w:val="20"/>
                <w:u w:val="none"/>
                <w:lang w:val="en-US"/>
              </w:rPr>
            </w:pPr>
            <w:r>
              <w:rPr>
                <w:rFonts w:hint="eastAsia" w:ascii="微软雅黑" w:hAnsi="微软雅黑" w:eastAsia="微软雅黑" w:cs="微软雅黑"/>
                <w:b w:val="0"/>
                <w:bCs w:val="0"/>
                <w:i w:val="0"/>
                <w:color w:val="000000"/>
                <w:kern w:val="0"/>
                <w:sz w:val="20"/>
                <w:szCs w:val="20"/>
                <w:u w:val="none"/>
                <w:lang w:val="en-US" w:eastAsia="zh-CN" w:bidi="ar"/>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color w:val="000000"/>
                <w:sz w:val="20"/>
                <w:szCs w:val="20"/>
                <w:u w:val="none"/>
              </w:rPr>
            </w:pPr>
            <w:r>
              <w:rPr>
                <w:rFonts w:hint="eastAsia" w:ascii="微软雅黑" w:hAnsi="微软雅黑" w:eastAsia="微软雅黑" w:cs="微软雅黑"/>
                <w:b w:val="0"/>
                <w:bCs w:val="0"/>
                <w:i w:val="0"/>
                <w:color w:val="000000"/>
                <w:kern w:val="0"/>
                <w:sz w:val="20"/>
                <w:szCs w:val="20"/>
                <w:u w:val="none"/>
                <w:lang w:val="en-US" w:eastAsia="zh-CN" w:bidi="ar"/>
              </w:rPr>
              <w:t>100%</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sz w:val="20"/>
                <w:szCs w:val="20"/>
                <w:u w:val="none"/>
                <w:lang w:val="en-US"/>
              </w:rPr>
            </w:pPr>
            <w:r>
              <w:rPr>
                <w:rFonts w:hint="eastAsia" w:ascii="微软雅黑" w:hAnsi="微软雅黑" w:eastAsia="微软雅黑" w:cs="微软雅黑"/>
                <w:b w:val="0"/>
                <w:bCs w:val="0"/>
                <w:i w:val="0"/>
                <w:color w:val="000000"/>
                <w:kern w:val="0"/>
                <w:sz w:val="20"/>
                <w:szCs w:val="20"/>
                <w:u w:val="none"/>
                <w:lang w:val="en-US" w:eastAsia="zh-CN" w:bidi="ar"/>
              </w:rPr>
              <w:t>危废处置单位处置利用（包括上年度2.5015吨）</w:t>
            </w:r>
          </w:p>
        </w:tc>
      </w:tr>
      <w:tr>
        <w:tblPrEx>
          <w:tblCellMar>
            <w:top w:w="0" w:type="dxa"/>
            <w:left w:w="0" w:type="dxa"/>
            <w:bottom w:w="0" w:type="dxa"/>
            <w:right w:w="0" w:type="dxa"/>
          </w:tblCellMar>
        </w:tblPrEx>
        <w:trPr>
          <w:trHeight w:val="58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000000"/>
                <w:kern w:val="2"/>
                <w:sz w:val="20"/>
                <w:szCs w:val="20"/>
                <w:u w:val="none"/>
                <w:lang w:val="en-US" w:eastAsia="zh-CN" w:bidi="ar-SA"/>
              </w:rPr>
            </w:pPr>
            <w:r>
              <w:rPr>
                <w:rFonts w:hint="eastAsia" w:ascii="微软雅黑" w:hAnsi="微软雅黑" w:eastAsia="微软雅黑" w:cs="微软雅黑"/>
                <w:i w:val="0"/>
                <w:color w:val="000000"/>
                <w:kern w:val="2"/>
                <w:sz w:val="20"/>
                <w:szCs w:val="20"/>
                <w:u w:val="none"/>
                <w:lang w:val="en-US" w:eastAsia="zh-CN" w:bidi="ar-SA"/>
              </w:rPr>
              <w:t>5</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微软雅黑" w:hAnsi="微软雅黑" w:eastAsia="微软雅黑" w:cs="微软雅黑"/>
                <w:b w:val="0"/>
                <w:bCs w:val="0"/>
                <w:i w:val="0"/>
                <w:color w:val="000000"/>
                <w:kern w:val="2"/>
                <w:sz w:val="20"/>
                <w:szCs w:val="20"/>
                <w:u w:val="none"/>
                <w:lang w:val="en-US" w:eastAsia="zh-CN" w:bidi="ar-SA"/>
              </w:rPr>
            </w:pPr>
            <w:r>
              <w:rPr>
                <w:rFonts w:hint="eastAsia" w:ascii="微软雅黑" w:hAnsi="微软雅黑" w:eastAsia="微软雅黑" w:cs="微软雅黑"/>
                <w:b w:val="0"/>
                <w:bCs w:val="0"/>
                <w:i w:val="0"/>
                <w:color w:val="000000"/>
                <w:kern w:val="2"/>
                <w:sz w:val="20"/>
                <w:szCs w:val="20"/>
                <w:u w:val="none"/>
                <w:lang w:val="en-US" w:eastAsia="zh-CN" w:bidi="ar-SA"/>
              </w:rPr>
              <w:t>含油抹布</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kern w:val="2"/>
                <w:sz w:val="20"/>
                <w:szCs w:val="20"/>
                <w:u w:val="none"/>
                <w:lang w:val="en-US" w:eastAsia="zh-CN" w:bidi="ar-SA"/>
              </w:rPr>
            </w:pPr>
            <w:r>
              <w:rPr>
                <w:rFonts w:hint="eastAsia" w:ascii="微软雅黑" w:hAnsi="微软雅黑" w:eastAsia="微软雅黑" w:cs="微软雅黑"/>
                <w:b w:val="0"/>
                <w:bCs w:val="0"/>
                <w:i w:val="0"/>
                <w:color w:val="000000"/>
                <w:kern w:val="2"/>
                <w:sz w:val="20"/>
                <w:szCs w:val="20"/>
                <w:u w:val="none"/>
                <w:lang w:val="en-US" w:eastAsia="zh-CN" w:bidi="ar-SA"/>
              </w:rPr>
              <w:t>0.1715</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kern w:val="2"/>
                <w:sz w:val="20"/>
                <w:szCs w:val="20"/>
                <w:u w:val="none"/>
                <w:lang w:val="en-US" w:eastAsia="zh-CN" w:bidi="ar-SA"/>
              </w:rPr>
            </w:pPr>
            <w:r>
              <w:rPr>
                <w:rFonts w:hint="eastAsia" w:ascii="微软雅黑" w:hAnsi="微软雅黑" w:eastAsia="微软雅黑" w:cs="微软雅黑"/>
                <w:b w:val="0"/>
                <w:bCs w:val="0"/>
                <w:i w:val="0"/>
                <w:color w:val="000000"/>
                <w:kern w:val="2"/>
                <w:sz w:val="20"/>
                <w:szCs w:val="20"/>
                <w:u w:val="none"/>
                <w:lang w:val="en-US" w:eastAsia="zh-CN" w:bidi="ar-SA"/>
              </w:rPr>
              <w:t>0</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kern w:val="2"/>
                <w:sz w:val="20"/>
                <w:szCs w:val="20"/>
                <w:u w:val="none"/>
                <w:lang w:val="en-US" w:eastAsia="zh-CN" w:bidi="ar-SA"/>
              </w:rPr>
            </w:pPr>
            <w:r>
              <w:rPr>
                <w:rFonts w:hint="eastAsia" w:ascii="微软雅黑" w:hAnsi="微软雅黑" w:eastAsia="微软雅黑" w:cs="微软雅黑"/>
                <w:b w:val="0"/>
                <w:bCs w:val="0"/>
                <w:i w:val="0"/>
                <w:color w:val="000000"/>
                <w:kern w:val="2"/>
                <w:sz w:val="20"/>
                <w:szCs w:val="20"/>
                <w:u w:val="none"/>
                <w:lang w:val="en-US" w:eastAsia="zh-CN" w:bidi="ar-SA"/>
              </w:rPr>
              <w:t>0</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kern w:val="2"/>
                <w:sz w:val="20"/>
                <w:szCs w:val="20"/>
                <w:u w:val="none"/>
                <w:lang w:val="en-US" w:eastAsia="zh-CN" w:bidi="ar-SA"/>
              </w:rPr>
            </w:pPr>
            <w:r>
              <w:rPr>
                <w:rFonts w:hint="eastAsia" w:ascii="微软雅黑" w:hAnsi="微软雅黑" w:eastAsia="微软雅黑" w:cs="微软雅黑"/>
                <w:b w:val="0"/>
                <w:bCs w:val="0"/>
                <w:i w:val="0"/>
                <w:color w:val="000000"/>
                <w:kern w:val="2"/>
                <w:sz w:val="20"/>
                <w:szCs w:val="20"/>
                <w:u w:val="none"/>
                <w:lang w:val="en-US" w:eastAsia="zh-CN" w:bidi="ar-SA"/>
              </w:rPr>
              <w:t>0.1715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kern w:val="2"/>
                <w:sz w:val="20"/>
                <w:szCs w:val="20"/>
                <w:u w:val="none"/>
                <w:lang w:val="en-US" w:eastAsia="zh-CN" w:bidi="ar-SA"/>
              </w:rPr>
            </w:pPr>
            <w:r>
              <w:rPr>
                <w:rFonts w:hint="eastAsia" w:ascii="微软雅黑" w:hAnsi="微软雅黑" w:eastAsia="微软雅黑" w:cs="微软雅黑"/>
                <w:b w:val="0"/>
                <w:bCs w:val="0"/>
                <w:i w:val="0"/>
                <w:color w:val="000000"/>
                <w:kern w:val="2"/>
                <w:sz w:val="20"/>
                <w:szCs w:val="20"/>
                <w:u w:val="none"/>
                <w:lang w:val="en-US" w:eastAsia="zh-CN" w:bidi="ar-SA"/>
              </w:rPr>
              <w:t>0%</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b w:val="0"/>
                <w:bCs w:val="0"/>
                <w:i w:val="0"/>
                <w:color w:val="000000"/>
                <w:kern w:val="2"/>
                <w:sz w:val="20"/>
                <w:szCs w:val="20"/>
                <w:u w:val="none"/>
                <w:lang w:val="en-US" w:eastAsia="zh-CN" w:bidi="ar-SA"/>
              </w:rPr>
            </w:pPr>
          </w:p>
        </w:tc>
      </w:tr>
      <w:tr>
        <w:tblPrEx>
          <w:tblCellMar>
            <w:top w:w="0" w:type="dxa"/>
            <w:left w:w="0" w:type="dxa"/>
            <w:bottom w:w="0" w:type="dxa"/>
            <w:right w:w="0" w:type="dxa"/>
          </w:tblCellMar>
        </w:tblPrEx>
        <w:trPr>
          <w:trHeight w:val="58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合计</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b w:val="0"/>
                <w:bCs w:val="0"/>
                <w:i w:val="0"/>
                <w:color w:val="000000"/>
                <w:kern w:val="2"/>
                <w:sz w:val="20"/>
                <w:szCs w:val="20"/>
                <w:u w:val="none"/>
                <w:lang w:val="en-US" w:eastAsia="zh-CN" w:bidi="ar-SA"/>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kern w:val="2"/>
                <w:sz w:val="20"/>
                <w:szCs w:val="20"/>
                <w:u w:val="none"/>
                <w:lang w:val="en-US" w:eastAsia="zh-CN" w:bidi="ar-SA"/>
              </w:rPr>
            </w:pPr>
            <w:r>
              <w:rPr>
                <w:rFonts w:hint="eastAsia" w:ascii="微软雅黑" w:hAnsi="微软雅黑" w:eastAsia="微软雅黑" w:cs="微软雅黑"/>
                <w:b w:val="0"/>
                <w:bCs w:val="0"/>
                <w:i w:val="0"/>
                <w:color w:val="000000"/>
                <w:kern w:val="2"/>
                <w:sz w:val="20"/>
                <w:szCs w:val="20"/>
                <w:u w:val="none"/>
                <w:lang w:val="en-US" w:eastAsia="zh-CN" w:bidi="ar-SA"/>
              </w:rPr>
              <w:t>80793.9775</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kern w:val="2"/>
                <w:sz w:val="20"/>
                <w:szCs w:val="20"/>
                <w:u w:val="none"/>
                <w:lang w:val="en-US" w:eastAsia="zh-CN" w:bidi="ar-SA"/>
              </w:rPr>
            </w:pPr>
            <w:r>
              <w:rPr>
                <w:rFonts w:hint="eastAsia" w:ascii="微软雅黑" w:hAnsi="微软雅黑" w:eastAsia="微软雅黑" w:cs="微软雅黑"/>
                <w:b w:val="0"/>
                <w:bCs w:val="0"/>
                <w:i w:val="0"/>
                <w:color w:val="000000"/>
                <w:kern w:val="2"/>
                <w:sz w:val="20"/>
                <w:szCs w:val="20"/>
                <w:u w:val="none"/>
                <w:lang w:val="en-US" w:eastAsia="zh-CN" w:bidi="ar-SA"/>
              </w:rPr>
              <w:t>80793.5075</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color w:val="000000"/>
                <w:kern w:val="2"/>
                <w:sz w:val="20"/>
                <w:szCs w:val="20"/>
                <w:u w:val="none"/>
                <w:lang w:val="en-US" w:eastAsia="zh-CN" w:bidi="ar-SA"/>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kern w:val="2"/>
                <w:sz w:val="20"/>
                <w:szCs w:val="20"/>
                <w:u w:val="none"/>
                <w:lang w:val="en-US" w:eastAsia="zh-CN" w:bidi="ar-SA"/>
              </w:rPr>
            </w:pPr>
            <w:r>
              <w:rPr>
                <w:rFonts w:hint="eastAsia" w:ascii="微软雅黑" w:hAnsi="微软雅黑" w:eastAsia="微软雅黑" w:cs="微软雅黑"/>
                <w:b w:val="0"/>
                <w:bCs w:val="0"/>
                <w:i w:val="0"/>
                <w:color w:val="000000"/>
                <w:kern w:val="2"/>
                <w:sz w:val="20"/>
                <w:szCs w:val="20"/>
                <w:u w:val="none"/>
                <w:lang w:val="en-US" w:eastAsia="zh-CN" w:bidi="ar-SA"/>
              </w:rPr>
              <w:t>1929.1715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color w:val="000000"/>
                <w:kern w:val="2"/>
                <w:sz w:val="20"/>
                <w:szCs w:val="20"/>
                <w:u w:val="none"/>
                <w:lang w:val="en-US" w:eastAsia="zh-CN" w:bidi="ar-SA"/>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b w:val="0"/>
                <w:bCs w:val="0"/>
                <w:i w:val="0"/>
                <w:color w:val="000000"/>
                <w:kern w:val="2"/>
                <w:sz w:val="20"/>
                <w:szCs w:val="20"/>
                <w:u w:val="none"/>
                <w:lang w:val="en-US" w:eastAsia="zh-CN" w:bidi="ar-SA"/>
              </w:rPr>
            </w:pPr>
          </w:p>
        </w:tc>
      </w:tr>
    </w:tbl>
    <w:p>
      <w:pPr>
        <w:rPr>
          <w:rFonts w:hint="default"/>
          <w:lang w:val="en-US" w:eastAsia="zh-CN"/>
        </w:rPr>
      </w:pPr>
    </w:p>
    <w:p>
      <w:pPr>
        <w:pStyle w:val="7"/>
        <w:bidi w:val="0"/>
        <w:rPr>
          <w:rFonts w:hint="eastAsia" w:cs="Times New Roman"/>
          <w:lang w:val="en-US" w:eastAsia="zh-CN"/>
        </w:rPr>
      </w:pPr>
      <w:bookmarkStart w:id="55" w:name="_Toc23057"/>
      <w:bookmarkStart w:id="56" w:name="_Toc10078"/>
    </w:p>
    <w:p>
      <w:pPr>
        <w:pStyle w:val="7"/>
        <w:bidi w:val="0"/>
        <w:rPr>
          <w:rFonts w:hint="eastAsia" w:cs="Times New Roman"/>
          <w:lang w:val="en-US" w:eastAsia="zh-CN"/>
        </w:rPr>
      </w:pPr>
      <w:r>
        <w:rPr>
          <w:rFonts w:hint="eastAsia" w:cs="Times New Roman"/>
          <w:lang w:val="en-US" w:eastAsia="zh-CN"/>
        </w:rPr>
        <w:t>5.4 结论</w:t>
      </w:r>
      <w:bookmarkEnd w:id="55"/>
      <w:bookmarkEnd w:id="56"/>
    </w:p>
    <w:p>
      <w:pPr>
        <w:pStyle w:val="3"/>
        <w:pageBreakBefore w:val="0"/>
        <w:widowControl w:val="0"/>
        <w:kinsoku/>
        <w:wordWrap/>
        <w:overflowPunct/>
        <w:topLinePunct w:val="0"/>
        <w:autoSpaceDE/>
        <w:autoSpaceDN/>
        <w:bidi w:val="0"/>
        <w:adjustRightInd/>
        <w:snapToGrid/>
        <w:spacing w:before="213" w:line="276" w:lineRule="auto"/>
        <w:ind w:left="220" w:right="237" w:firstLine="480"/>
        <w:textAlignment w:val="auto"/>
        <w:rPr>
          <w:rFonts w:hint="default"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综上，分析公司各工段生产工艺流程、环境污染防治设施，对照《有毒有害大气污染物名录（2018 年）》的公告 （2019 年 第 4 号）、《有毒有害水污染物名录（第一批）》的公告（</w:t>
      </w:r>
      <w:r>
        <w:rPr>
          <w:rFonts w:hint="default" w:ascii="微软雅黑" w:hAnsi="微软雅黑" w:eastAsia="微软雅黑" w:cs="微软雅黑"/>
          <w:b w:val="0"/>
          <w:bCs/>
          <w:kern w:val="2"/>
          <w:sz w:val="21"/>
          <w:szCs w:val="21"/>
          <w:lang w:val="en-US" w:eastAsia="zh-CN" w:bidi="ar-SA"/>
        </w:rPr>
        <w:t xml:space="preserve">2019 </w:t>
      </w:r>
      <w:r>
        <w:rPr>
          <w:rFonts w:hint="eastAsia" w:ascii="微软雅黑" w:hAnsi="微软雅黑" w:eastAsia="微软雅黑" w:cs="微软雅黑"/>
          <w:b w:val="0"/>
          <w:bCs/>
          <w:kern w:val="2"/>
          <w:sz w:val="21"/>
          <w:szCs w:val="21"/>
          <w:lang w:val="en-US" w:eastAsia="zh-CN" w:bidi="ar-SA"/>
        </w:rPr>
        <w:t xml:space="preserve">年 第 </w:t>
      </w:r>
      <w:r>
        <w:rPr>
          <w:rFonts w:hint="default" w:ascii="微软雅黑" w:hAnsi="微软雅黑" w:eastAsia="微软雅黑" w:cs="微软雅黑"/>
          <w:b w:val="0"/>
          <w:bCs/>
          <w:kern w:val="2"/>
          <w:sz w:val="21"/>
          <w:szCs w:val="21"/>
          <w:lang w:val="en-US" w:eastAsia="zh-CN" w:bidi="ar-SA"/>
        </w:rPr>
        <w:t xml:space="preserve">28 </w:t>
      </w:r>
      <w:r>
        <w:rPr>
          <w:rFonts w:hint="eastAsia" w:ascii="微软雅黑" w:hAnsi="微软雅黑" w:eastAsia="微软雅黑" w:cs="微软雅黑"/>
          <w:b w:val="0"/>
          <w:bCs/>
          <w:kern w:val="2"/>
          <w:sz w:val="21"/>
          <w:szCs w:val="21"/>
          <w:lang w:val="en-US" w:eastAsia="zh-CN" w:bidi="ar-SA"/>
        </w:rPr>
        <w:t>号），共公司使用的原辅材料、污染物排放因子不涉及名录中有毒有害因子。</w:t>
      </w:r>
    </w:p>
    <w:p>
      <w:pPr>
        <w:pStyle w:val="4"/>
        <w:keepNext w:val="0"/>
        <w:keepLines w:val="0"/>
        <w:pageBreakBefore w:val="0"/>
        <w:widowControl/>
        <w:kinsoku/>
        <w:wordWrap/>
        <w:overflowPunct/>
        <w:topLinePunct w:val="0"/>
        <w:autoSpaceDE/>
        <w:autoSpaceDN/>
        <w:bidi w:val="0"/>
        <w:adjustRightInd/>
        <w:snapToGrid/>
        <w:spacing w:before="0" w:after="0" w:line="360" w:lineRule="auto"/>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sz w:val="21"/>
          <w:szCs w:val="21"/>
          <w:lang w:val="en-US" w:eastAsia="zh-CN"/>
        </w:rPr>
        <w:t>安阳盈德气体有限公司2022</w:t>
      </w:r>
      <w:r>
        <w:rPr>
          <w:rFonts w:hint="eastAsia" w:ascii="微软雅黑" w:hAnsi="微软雅黑" w:eastAsia="微软雅黑" w:cs="微软雅黑"/>
          <w:b w:val="0"/>
          <w:bCs/>
          <w:sz w:val="21"/>
          <w:szCs w:val="21"/>
        </w:rPr>
        <w:t>年度土壤</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lang w:val="en-US" w:eastAsia="zh-CN"/>
        </w:rPr>
        <w:t>地下水</w:t>
      </w:r>
      <w:r>
        <w:rPr>
          <w:rFonts w:hint="eastAsia" w:ascii="微软雅黑" w:hAnsi="微软雅黑" w:eastAsia="微软雅黑" w:cs="微软雅黑"/>
          <w:b w:val="0"/>
          <w:bCs/>
          <w:sz w:val="21"/>
          <w:szCs w:val="21"/>
        </w:rPr>
        <w:t>自行监测结果表明，厂区</w:t>
      </w:r>
      <w:r>
        <w:rPr>
          <w:rFonts w:hint="eastAsia" w:ascii="微软雅黑" w:hAnsi="微软雅黑" w:eastAsia="微软雅黑" w:cs="微软雅黑"/>
          <w:b w:val="0"/>
          <w:bCs/>
          <w:sz w:val="21"/>
          <w:szCs w:val="21"/>
          <w:lang w:val="en-US" w:eastAsia="zh-CN"/>
        </w:rPr>
        <w:t>9</w:t>
      </w:r>
      <w:r>
        <w:rPr>
          <w:rFonts w:hint="eastAsia" w:ascii="微软雅黑" w:hAnsi="微软雅黑" w:eastAsia="微软雅黑" w:cs="微软雅黑"/>
          <w:b w:val="0"/>
          <w:bCs/>
          <w:sz w:val="21"/>
          <w:szCs w:val="21"/>
        </w:rPr>
        <w:t>个土壤检测结果均符合《土壤环境质量建设用地土壤污染风险管控标准（试 行）》</w:t>
      </w:r>
      <w:r>
        <w:rPr>
          <w:rFonts w:hint="eastAsia" w:ascii="微软雅黑" w:hAnsi="微软雅黑" w:eastAsia="微软雅黑" w:cs="微软雅黑"/>
          <w:b w:val="0"/>
          <w:bCs/>
          <w:sz w:val="21"/>
          <w:szCs w:val="21"/>
          <w:lang w:val="en-US" w:eastAsia="en-US"/>
        </w:rPr>
        <w:t>（GB 36600-2018）</w:t>
      </w:r>
      <w:r>
        <w:rPr>
          <w:rFonts w:hint="eastAsia" w:ascii="微软雅黑" w:hAnsi="微软雅黑" w:eastAsia="微软雅黑" w:cs="微软雅黑"/>
          <w:b w:val="0"/>
          <w:bCs/>
          <w:sz w:val="21"/>
          <w:szCs w:val="21"/>
        </w:rPr>
        <w:t>表1和表2第二类用地筛选值限值要求</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lang w:val="en-US" w:eastAsia="zh-CN"/>
        </w:rPr>
        <w:t>地下水</w:t>
      </w:r>
      <w:r>
        <w:rPr>
          <w:rFonts w:hint="eastAsia" w:ascii="微软雅黑" w:hAnsi="微软雅黑" w:eastAsia="微软雅黑" w:cs="微软雅黑"/>
          <w:sz w:val="21"/>
          <w:szCs w:val="21"/>
          <w:lang w:val="en-US" w:eastAsia="zh-CN"/>
        </w:rPr>
        <w:t>各污染物浓度均符合《地下水质量标准》（GB/T14848-2017） III类 标准限值要求。公司废水、废气、危废有毒有害物质排放均满足相关要求。</w:t>
      </w:r>
    </w:p>
    <w:p>
      <w:pPr>
        <w:pStyle w:val="4"/>
        <w:keepNext w:val="0"/>
        <w:keepLines w:val="0"/>
        <w:pageBreakBefore w:val="0"/>
        <w:widowControl/>
        <w:kinsoku/>
        <w:wordWrap/>
        <w:overflowPunct/>
        <w:topLinePunct w:val="0"/>
        <w:autoSpaceDE/>
        <w:autoSpaceDN/>
        <w:bidi w:val="0"/>
        <w:adjustRightInd/>
        <w:snapToGrid/>
        <w:spacing w:before="0" w:after="0" w:line="360" w:lineRule="auto"/>
        <w:ind w:firstLine="420" w:firstLineChars="200"/>
        <w:textAlignment w:val="auto"/>
        <w:rPr>
          <w:rFonts w:hint="default" w:ascii="微软雅黑" w:hAnsi="微软雅黑" w:eastAsia="微软雅黑" w:cs="微软雅黑"/>
          <w:b w:val="0"/>
          <w:bCs/>
          <w:sz w:val="21"/>
          <w:szCs w:val="21"/>
          <w:lang w:val="en-US" w:eastAsia="zh-CN"/>
        </w:rPr>
      </w:pPr>
      <w:r>
        <w:rPr>
          <w:rFonts w:hint="eastAsia" w:ascii="微软雅黑" w:hAnsi="微软雅黑" w:eastAsia="微软雅黑" w:cs="微软雅黑"/>
          <w:sz w:val="21"/>
          <w:szCs w:val="21"/>
          <w:lang w:val="en-US" w:eastAsia="zh-CN"/>
        </w:rPr>
        <w:t>公司</w:t>
      </w:r>
      <w:r>
        <w:rPr>
          <w:rFonts w:hint="eastAsia" w:ascii="微软雅黑" w:hAnsi="微软雅黑" w:eastAsia="微软雅黑" w:cs="微软雅黑"/>
          <w:b w:val="0"/>
          <w:bCs/>
          <w:sz w:val="21"/>
          <w:szCs w:val="21"/>
          <w:lang w:val="en-US" w:eastAsia="zh-CN"/>
        </w:rPr>
        <w:t>“清洁生产”水平达到国内一级生产水平，严格执行国家标准。对生产中排放的各类污染物，本着减量、回收利用和妥善处理的原则，最大限度控制污染物的最终排放量，无排放优先控制化学品名录的物质。</w:t>
      </w:r>
      <w:r>
        <w:rPr>
          <w:rFonts w:hint="eastAsia" w:ascii="微软雅黑" w:hAnsi="微软雅黑" w:eastAsia="微软雅黑" w:cs="微软雅黑"/>
          <w:sz w:val="21"/>
          <w:szCs w:val="21"/>
          <w:lang w:val="en-US" w:eastAsia="zh-CN"/>
        </w:rPr>
        <w:t>公司废水、废气、危废污染然物质排放均满足相关要求，无超标情况。</w:t>
      </w:r>
    </w:p>
    <w:p>
      <w:pPr>
        <w:pStyle w:val="4"/>
        <w:keepNext w:val="0"/>
        <w:keepLines w:val="0"/>
        <w:pageBreakBefore w:val="0"/>
        <w:widowControl/>
        <w:kinsoku/>
        <w:wordWrap/>
        <w:overflowPunct/>
        <w:topLinePunct w:val="0"/>
        <w:autoSpaceDE/>
        <w:autoSpaceDN/>
        <w:bidi w:val="0"/>
        <w:adjustRightInd/>
        <w:snapToGrid/>
        <w:spacing w:before="0" w:after="0" w:line="360" w:lineRule="auto"/>
        <w:ind w:firstLine="420" w:firstLineChars="200"/>
        <w:textAlignment w:val="auto"/>
        <w:rPr>
          <w:rFonts w:hint="eastAsia" w:ascii="微软雅黑" w:hAnsi="微软雅黑" w:eastAsia="微软雅黑" w:cs="微软雅黑"/>
          <w:sz w:val="21"/>
          <w:szCs w:val="21"/>
          <w:lang w:val="en-US" w:eastAsia="zh-CN"/>
        </w:rPr>
      </w:pPr>
    </w:p>
    <w:p>
      <w:pPr>
        <w:pStyle w:val="7"/>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eastAsia" w:ascii="Times New Roman" w:hAnsi="Times New Roman" w:eastAsia="宋体" w:cs="Times New Roman"/>
          <w:b w:val="0"/>
          <w:bCs/>
          <w:sz w:val="24"/>
          <w:szCs w:val="24"/>
          <w:lang w:eastAsia="zh-CN"/>
        </w:rPr>
      </w:pPr>
    </w:p>
    <w:p>
      <w:pPr>
        <w:spacing w:line="500" w:lineRule="exact"/>
        <w:rPr>
          <w:kern w:val="0"/>
          <w:sz w:val="24"/>
        </w:rPr>
      </w:pPr>
    </w:p>
    <w:p>
      <w:pPr>
        <w:spacing w:line="500" w:lineRule="exact"/>
        <w:rPr>
          <w:kern w:val="0"/>
          <w:sz w:val="24"/>
        </w:rPr>
      </w:pPr>
    </w:p>
    <w:p>
      <w:pPr>
        <w:spacing w:line="500" w:lineRule="exact"/>
        <w:rPr>
          <w:kern w:val="0"/>
          <w:sz w:val="24"/>
        </w:rPr>
      </w:pPr>
    </w:p>
    <w:p>
      <w:pPr>
        <w:spacing w:line="500" w:lineRule="exact"/>
        <w:rPr>
          <w:kern w:val="0"/>
          <w:sz w:val="24"/>
        </w:rPr>
      </w:pPr>
    </w:p>
    <w:p>
      <w:pPr>
        <w:spacing w:line="500" w:lineRule="exact"/>
        <w:ind w:firstLine="480" w:firstLineChars="200"/>
        <w:rPr>
          <w:kern w:val="0"/>
          <w:sz w:val="24"/>
        </w:rPr>
      </w:pPr>
    </w:p>
    <w:p>
      <w:pPr>
        <w:spacing w:line="500" w:lineRule="exact"/>
        <w:ind w:firstLine="480" w:firstLineChars="200"/>
        <w:rPr>
          <w:kern w:val="0"/>
          <w:sz w:val="24"/>
        </w:rPr>
      </w:pPr>
    </w:p>
    <w:p>
      <w:pPr>
        <w:keepNext w:val="0"/>
        <w:keepLines w:val="0"/>
        <w:pageBreakBefore w:val="0"/>
        <w:widowControl w:val="0"/>
        <w:kinsoku/>
        <w:wordWrap/>
        <w:overflowPunct/>
        <w:topLinePunct w:val="0"/>
        <w:autoSpaceDE/>
        <w:autoSpaceDN/>
        <w:bidi w:val="0"/>
        <w:adjustRightInd/>
        <w:snapToGrid/>
        <w:spacing w:line="276" w:lineRule="auto"/>
        <w:ind w:firstLine="440" w:firstLineChars="200"/>
        <w:textAlignment w:val="auto"/>
        <w:rPr>
          <w:rFonts w:hint="default" w:ascii="微软雅黑" w:hAnsi="微软雅黑" w:eastAsia="微软雅黑" w:cs="微软雅黑"/>
          <w:b w:val="0"/>
          <w:bCs/>
          <w:sz w:val="22"/>
          <w:szCs w:val="22"/>
          <w:lang w:val="en-US" w:eastAsia="zh-CN"/>
        </w:rPr>
      </w:pPr>
    </w:p>
    <w:p>
      <w:pPr>
        <w:pStyle w:val="2"/>
        <w:rPr>
          <w:rFonts w:hint="default" w:ascii="微软雅黑" w:hAnsi="微软雅黑" w:eastAsia="微软雅黑" w:cs="微软雅黑"/>
          <w:b w:val="0"/>
          <w:bCs/>
          <w:sz w:val="22"/>
          <w:szCs w:val="22"/>
          <w:lang w:val="en-US" w:eastAsia="zh-CN"/>
        </w:rPr>
      </w:pPr>
    </w:p>
    <w:p>
      <w:pPr>
        <w:pStyle w:val="7"/>
        <w:bidi w:val="0"/>
        <w:rPr>
          <w:rFonts w:hint="default"/>
          <w:lang w:val="en-US" w:eastAsia="zh-CN"/>
        </w:rPr>
      </w:pPr>
      <w:bookmarkStart w:id="57" w:name="_Toc1876"/>
      <w:r>
        <w:rPr>
          <w:rFonts w:hint="eastAsia"/>
          <w:lang w:val="en-US" w:eastAsia="zh-CN"/>
        </w:rPr>
        <w:t>附图1：厂区平面布置图</w:t>
      </w:r>
      <w:bookmarkEnd w:id="57"/>
    </w:p>
    <w:p>
      <w:pPr>
        <w:keepNext w:val="0"/>
        <w:keepLines w:val="0"/>
        <w:pageBreakBefore w:val="0"/>
        <w:widowControl w:val="0"/>
        <w:kinsoku/>
        <w:wordWrap/>
        <w:overflowPunct/>
        <w:topLinePunct w:val="0"/>
        <w:autoSpaceDE/>
        <w:autoSpaceDN/>
        <w:bidi w:val="0"/>
        <w:adjustRightInd/>
        <w:snapToGrid/>
        <w:spacing w:line="276" w:lineRule="auto"/>
        <w:ind w:firstLine="440" w:firstLineChars="200"/>
        <w:textAlignment w:val="auto"/>
        <w:rPr>
          <w:rFonts w:hint="default"/>
          <w:lang w:val="en-US" w:eastAsia="zh-CN"/>
        </w:rPr>
        <w:sectPr>
          <w:headerReference r:id="rId6" w:type="default"/>
          <w:footerReference r:id="rId7" w:type="default"/>
          <w:pgSz w:w="11906" w:h="16838"/>
          <w:pgMar w:top="1418" w:right="1021" w:bottom="1418" w:left="1021" w:header="1134" w:footer="454" w:gutter="0"/>
          <w:pgNumType w:fmt="decimal"/>
          <w:cols w:space="425" w:num="1"/>
          <w:docGrid w:type="lines" w:linePitch="312" w:charSpace="0"/>
        </w:sectPr>
      </w:pPr>
      <w:r>
        <w:rPr>
          <w:rFonts w:hint="default" w:ascii="微软雅黑" w:hAnsi="微软雅黑" w:eastAsia="微软雅黑" w:cs="微软雅黑"/>
          <w:b w:val="0"/>
          <w:bCs/>
          <w:sz w:val="22"/>
          <w:szCs w:val="22"/>
          <w:lang w:val="en-US" w:eastAsia="zh-CN"/>
        </w:rPr>
        <w:drawing>
          <wp:inline distT="0" distB="0" distL="114300" distR="114300">
            <wp:extent cx="5575935" cy="7661910"/>
            <wp:effectExtent l="0" t="0" r="5715" b="15240"/>
            <wp:docPr id="24" name="图片 24" descr="1.1.4-1安阳盈德气体有限公司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1.4-1安阳盈德气体有限公司平面布置图"/>
                    <pic:cNvPicPr>
                      <a:picLocks noChangeAspect="1"/>
                    </pic:cNvPicPr>
                  </pic:nvPicPr>
                  <pic:blipFill>
                    <a:blip r:embed="rId39"/>
                    <a:stretch>
                      <a:fillRect/>
                    </a:stretch>
                  </pic:blipFill>
                  <pic:spPr>
                    <a:xfrm>
                      <a:off x="0" y="0"/>
                      <a:ext cx="5575935" cy="7661910"/>
                    </a:xfrm>
                    <a:prstGeom prst="rect">
                      <a:avLst/>
                    </a:prstGeom>
                  </pic:spPr>
                </pic:pic>
              </a:graphicData>
            </a:graphic>
          </wp:inline>
        </w:drawing>
      </w:r>
    </w:p>
    <w:p>
      <w:pPr>
        <w:pStyle w:val="3"/>
        <w:rPr>
          <w:rFonts w:hint="default"/>
          <w:lang w:val="en-US" w:eastAsia="zh-CN"/>
        </w:rPr>
      </w:pPr>
    </w:p>
    <w:sectPr>
      <w:pgSz w:w="16838" w:h="11906" w:orient="landscape"/>
      <w:pgMar w:top="1020" w:right="1417" w:bottom="1020" w:left="1417" w:header="1134" w:footer="454" w:gutter="0"/>
      <w:pgNumType w:fmt="decimal"/>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新魏">
    <w:panose1 w:val="02010800040101010101"/>
    <w:charset w:val="86"/>
    <w:family w:val="auto"/>
    <w:pitch w:val="default"/>
    <w:sig w:usb0="00000001" w:usb1="080F0000" w:usb2="00000000" w:usb3="00000000" w:csb0="00040000" w:csb1="00000000"/>
  </w:font>
  <w:font w:name="PingFang SC">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ind w:right="540"/>
      <w:jc w:val="right"/>
      <w:rPr>
        <w:rFonts w:ascii="华文细黑" w:hAnsi="华文细黑" w:eastAsia="华文细黑"/>
        <w:sz w:val="13"/>
        <w:szCs w:val="15"/>
      </w:rPr>
    </w:pPr>
    <w:r>
      <w:rPr>
        <w:sz w:val="13"/>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drawing>
        <wp:anchor distT="0" distB="0" distL="114300" distR="114300" simplePos="0" relativeHeight="251666432" behindDoc="1" locked="0" layoutInCell="1" allowOverlap="1">
          <wp:simplePos x="0" y="0"/>
          <wp:positionH relativeFrom="column">
            <wp:posOffset>-349885</wp:posOffset>
          </wp:positionH>
          <wp:positionV relativeFrom="paragraph">
            <wp:posOffset>-452755</wp:posOffset>
          </wp:positionV>
          <wp:extent cx="6477635" cy="914400"/>
          <wp:effectExtent l="0" t="0" r="18415" b="0"/>
          <wp:wrapNone/>
          <wp:docPr id="10" name="图片 10" descr="B应用系统-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应用系统-6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77635" cy="914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微软雅黑" w:hAnsi="微软雅黑" w:eastAsia="微软雅黑" w:cs="宋体"/>
        <w:sz w:val="12"/>
        <w:szCs w:val="12"/>
      </w:rPr>
    </w:pPr>
    <w:r>
      <mc:AlternateContent>
        <mc:Choice Requires="wps">
          <w:drawing>
            <wp:anchor distT="0" distB="0" distL="114300" distR="114300" simplePos="0" relativeHeight="251662336" behindDoc="0" locked="0" layoutInCell="1" allowOverlap="1">
              <wp:simplePos x="0" y="0"/>
              <wp:positionH relativeFrom="column">
                <wp:posOffset>142240</wp:posOffset>
              </wp:positionH>
              <wp:positionV relativeFrom="paragraph">
                <wp:posOffset>-358140</wp:posOffset>
              </wp:positionV>
              <wp:extent cx="1981200" cy="533400"/>
              <wp:effectExtent l="0" t="0" r="0" b="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1981200" cy="533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2pt;margin-top:-28.2pt;height:42pt;width:156pt;z-index:251662336;mso-width-relative:page;mso-height-relative:page;" fillcolor="#FFFFFF" filled="t" stroked="f" coordsize="21600,21600" o:gfxdata="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i8Vo1wAAAAkBAAAP&#10;AAAAAAAAAAEAIAAAACIAAABkcnMvZG93bnJldi54bWxQSwECFAAUAAAACACHTuJA78ksCBkCAAAm&#10;BAAADgAAAAAAAAABACAAAAAmAQAAZHJzL2Uyb0RvYy54bWxQSwUGAAAAAAYABgBZAQAAsQUAAAAA&#10;">
              <v:fill on="t" focussize="0,0"/>
              <v:stroke on="f"/>
              <v:imagedata o:title=""/>
              <o:lock v:ext="edit" aspectratio="f"/>
            </v:rect>
          </w:pict>
        </mc:Fallback>
      </mc:AlternateContent>
    </w:r>
    <w:r>
      <w:drawing>
        <wp:anchor distT="0" distB="0" distL="114300" distR="114300" simplePos="0" relativeHeight="251659264" behindDoc="1" locked="0" layoutInCell="1" allowOverlap="1">
          <wp:simplePos x="0" y="0"/>
          <wp:positionH relativeFrom="column">
            <wp:posOffset>5080</wp:posOffset>
          </wp:positionH>
          <wp:positionV relativeFrom="paragraph">
            <wp:posOffset>-631190</wp:posOffset>
          </wp:positionV>
          <wp:extent cx="6477635" cy="914400"/>
          <wp:effectExtent l="0" t="0" r="0" b="0"/>
          <wp:wrapNone/>
          <wp:docPr id="7" name="图片 7" descr="B应用系统-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应用系统-6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77635" cy="914400"/>
                  </a:xfrm>
                  <a:prstGeom prst="rect">
                    <a:avLst/>
                  </a:prstGeom>
                  <a:noFill/>
                  <a:ln>
                    <a:noFill/>
                  </a:ln>
                </pic:spPr>
              </pic:pic>
            </a:graphicData>
          </a:graphic>
        </wp:anchor>
      </w:drawing>
    </w:r>
  </w:p>
  <w:p>
    <w:pPr>
      <w:spacing w:line="140" w:lineRule="atLeast"/>
      <w:rPr>
        <w:rFonts w:ascii="微软雅黑" w:hAnsi="微软雅黑" w:eastAsia="微软雅黑" w:cs="宋体"/>
        <w:sz w:val="12"/>
        <w:szCs w:val="12"/>
      </w:rPr>
    </w:pPr>
  </w:p>
  <w:p>
    <w:pPr>
      <w:rPr>
        <w:rFonts w:ascii="微软雅黑" w:hAnsi="微软雅黑" w:eastAsia="微软雅黑" w:cs="宋体"/>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9ACA3"/>
    <w:multiLevelType w:val="singleLevel"/>
    <w:tmpl w:val="08D9ACA3"/>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lZTU4MDI2OWZhMmMzYzFhZjE1NWU4Y2M1NDg2MmIifQ=="/>
  </w:docVars>
  <w:rsids>
    <w:rsidRoot w:val="003B137F"/>
    <w:rsid w:val="000000D0"/>
    <w:rsid w:val="000075E0"/>
    <w:rsid w:val="000116D0"/>
    <w:rsid w:val="00047406"/>
    <w:rsid w:val="00047A1C"/>
    <w:rsid w:val="00061BD0"/>
    <w:rsid w:val="0007246D"/>
    <w:rsid w:val="00076BEE"/>
    <w:rsid w:val="0007784B"/>
    <w:rsid w:val="00081896"/>
    <w:rsid w:val="00085B65"/>
    <w:rsid w:val="0009122A"/>
    <w:rsid w:val="000959A0"/>
    <w:rsid w:val="000959A9"/>
    <w:rsid w:val="000A1193"/>
    <w:rsid w:val="000A2637"/>
    <w:rsid w:val="000C2CA1"/>
    <w:rsid w:val="000C3596"/>
    <w:rsid w:val="000D0AEB"/>
    <w:rsid w:val="000D7E30"/>
    <w:rsid w:val="000E466B"/>
    <w:rsid w:val="000F4522"/>
    <w:rsid w:val="000F7469"/>
    <w:rsid w:val="00100A70"/>
    <w:rsid w:val="001049B6"/>
    <w:rsid w:val="001163AF"/>
    <w:rsid w:val="00116695"/>
    <w:rsid w:val="001216F4"/>
    <w:rsid w:val="001265FF"/>
    <w:rsid w:val="0013592B"/>
    <w:rsid w:val="001371DC"/>
    <w:rsid w:val="001374BF"/>
    <w:rsid w:val="00137BF1"/>
    <w:rsid w:val="0014434D"/>
    <w:rsid w:val="001601AA"/>
    <w:rsid w:val="00166A26"/>
    <w:rsid w:val="00175BFC"/>
    <w:rsid w:val="001809DB"/>
    <w:rsid w:val="001937AC"/>
    <w:rsid w:val="0019563D"/>
    <w:rsid w:val="001B34BF"/>
    <w:rsid w:val="001B419E"/>
    <w:rsid w:val="001C171D"/>
    <w:rsid w:val="001D5E8D"/>
    <w:rsid w:val="001E0E9D"/>
    <w:rsid w:val="001E122B"/>
    <w:rsid w:val="001E13C3"/>
    <w:rsid w:val="001F3B29"/>
    <w:rsid w:val="001F6155"/>
    <w:rsid w:val="00211278"/>
    <w:rsid w:val="00213542"/>
    <w:rsid w:val="00214015"/>
    <w:rsid w:val="00221769"/>
    <w:rsid w:val="00225C88"/>
    <w:rsid w:val="00226377"/>
    <w:rsid w:val="00231E30"/>
    <w:rsid w:val="0025035C"/>
    <w:rsid w:val="00267B1D"/>
    <w:rsid w:val="00274A1D"/>
    <w:rsid w:val="00275C93"/>
    <w:rsid w:val="0027762C"/>
    <w:rsid w:val="002879BF"/>
    <w:rsid w:val="00290AC9"/>
    <w:rsid w:val="002B56AF"/>
    <w:rsid w:val="002D32AE"/>
    <w:rsid w:val="002D3CDD"/>
    <w:rsid w:val="002E5B0E"/>
    <w:rsid w:val="003024A6"/>
    <w:rsid w:val="00305A90"/>
    <w:rsid w:val="0031642A"/>
    <w:rsid w:val="00350026"/>
    <w:rsid w:val="00352E26"/>
    <w:rsid w:val="003579D1"/>
    <w:rsid w:val="00370A85"/>
    <w:rsid w:val="00394C22"/>
    <w:rsid w:val="003A7F88"/>
    <w:rsid w:val="003B137F"/>
    <w:rsid w:val="003B18D6"/>
    <w:rsid w:val="003C25D3"/>
    <w:rsid w:val="003C2D47"/>
    <w:rsid w:val="003D03BE"/>
    <w:rsid w:val="003D121B"/>
    <w:rsid w:val="003D3AA7"/>
    <w:rsid w:val="003F1A78"/>
    <w:rsid w:val="003F2A3B"/>
    <w:rsid w:val="003F3153"/>
    <w:rsid w:val="004035B0"/>
    <w:rsid w:val="00403EBC"/>
    <w:rsid w:val="00414A1F"/>
    <w:rsid w:val="00425B37"/>
    <w:rsid w:val="00425FF8"/>
    <w:rsid w:val="00454839"/>
    <w:rsid w:val="004549F0"/>
    <w:rsid w:val="0045786D"/>
    <w:rsid w:val="00461C68"/>
    <w:rsid w:val="0048498B"/>
    <w:rsid w:val="004905DC"/>
    <w:rsid w:val="00490CC1"/>
    <w:rsid w:val="004973C3"/>
    <w:rsid w:val="004B4B9F"/>
    <w:rsid w:val="004C5F74"/>
    <w:rsid w:val="004D1781"/>
    <w:rsid w:val="004D5AF4"/>
    <w:rsid w:val="004F5CA8"/>
    <w:rsid w:val="004F61DF"/>
    <w:rsid w:val="00500042"/>
    <w:rsid w:val="00507DD1"/>
    <w:rsid w:val="00513434"/>
    <w:rsid w:val="00520072"/>
    <w:rsid w:val="00522EF7"/>
    <w:rsid w:val="00530DB2"/>
    <w:rsid w:val="00532B47"/>
    <w:rsid w:val="00534C93"/>
    <w:rsid w:val="00551022"/>
    <w:rsid w:val="00552A89"/>
    <w:rsid w:val="00564D25"/>
    <w:rsid w:val="00585576"/>
    <w:rsid w:val="00585C3C"/>
    <w:rsid w:val="00597D6C"/>
    <w:rsid w:val="005A12B7"/>
    <w:rsid w:val="005E4BC1"/>
    <w:rsid w:val="005F0192"/>
    <w:rsid w:val="00600427"/>
    <w:rsid w:val="0060303B"/>
    <w:rsid w:val="00604EBB"/>
    <w:rsid w:val="00605BA4"/>
    <w:rsid w:val="00615EE7"/>
    <w:rsid w:val="00643EA6"/>
    <w:rsid w:val="006446E3"/>
    <w:rsid w:val="00646F50"/>
    <w:rsid w:val="0065179B"/>
    <w:rsid w:val="00667A57"/>
    <w:rsid w:val="0067339E"/>
    <w:rsid w:val="006776EC"/>
    <w:rsid w:val="00681C83"/>
    <w:rsid w:val="006A381A"/>
    <w:rsid w:val="006A4EB2"/>
    <w:rsid w:val="006B33F4"/>
    <w:rsid w:val="006B513A"/>
    <w:rsid w:val="006C6540"/>
    <w:rsid w:val="006D55C6"/>
    <w:rsid w:val="006D652B"/>
    <w:rsid w:val="006E6E86"/>
    <w:rsid w:val="00715545"/>
    <w:rsid w:val="007227DC"/>
    <w:rsid w:val="00724C44"/>
    <w:rsid w:val="00726B21"/>
    <w:rsid w:val="0073378C"/>
    <w:rsid w:val="00744214"/>
    <w:rsid w:val="00760DD7"/>
    <w:rsid w:val="00761F13"/>
    <w:rsid w:val="00764EEE"/>
    <w:rsid w:val="0078301E"/>
    <w:rsid w:val="00783568"/>
    <w:rsid w:val="00787F52"/>
    <w:rsid w:val="007977EC"/>
    <w:rsid w:val="00797C8F"/>
    <w:rsid w:val="007A137B"/>
    <w:rsid w:val="007A6525"/>
    <w:rsid w:val="007B7D1E"/>
    <w:rsid w:val="007C0CC7"/>
    <w:rsid w:val="007C1882"/>
    <w:rsid w:val="007C3772"/>
    <w:rsid w:val="007C625A"/>
    <w:rsid w:val="007D7AA9"/>
    <w:rsid w:val="007F3D7F"/>
    <w:rsid w:val="007F4549"/>
    <w:rsid w:val="007F4C3D"/>
    <w:rsid w:val="00800826"/>
    <w:rsid w:val="00803CCA"/>
    <w:rsid w:val="00812C34"/>
    <w:rsid w:val="0081364B"/>
    <w:rsid w:val="0084057B"/>
    <w:rsid w:val="00845B53"/>
    <w:rsid w:val="0085031E"/>
    <w:rsid w:val="008615E4"/>
    <w:rsid w:val="008650C4"/>
    <w:rsid w:val="00870FE2"/>
    <w:rsid w:val="008710D4"/>
    <w:rsid w:val="00873FE6"/>
    <w:rsid w:val="00884103"/>
    <w:rsid w:val="00887EDE"/>
    <w:rsid w:val="008971B7"/>
    <w:rsid w:val="008A51E8"/>
    <w:rsid w:val="008D3145"/>
    <w:rsid w:val="008D4193"/>
    <w:rsid w:val="008E5228"/>
    <w:rsid w:val="00954CDB"/>
    <w:rsid w:val="00960F0D"/>
    <w:rsid w:val="00971AE1"/>
    <w:rsid w:val="009740CD"/>
    <w:rsid w:val="00980B52"/>
    <w:rsid w:val="009828DB"/>
    <w:rsid w:val="009A48A9"/>
    <w:rsid w:val="009A603C"/>
    <w:rsid w:val="009C50CF"/>
    <w:rsid w:val="009C7326"/>
    <w:rsid w:val="009E5A2B"/>
    <w:rsid w:val="009F08A1"/>
    <w:rsid w:val="009F29AA"/>
    <w:rsid w:val="009F6C7F"/>
    <w:rsid w:val="00A1040E"/>
    <w:rsid w:val="00A4653A"/>
    <w:rsid w:val="00A51957"/>
    <w:rsid w:val="00A93ACE"/>
    <w:rsid w:val="00A947A9"/>
    <w:rsid w:val="00A953AE"/>
    <w:rsid w:val="00AD7340"/>
    <w:rsid w:val="00AE5474"/>
    <w:rsid w:val="00AF49DE"/>
    <w:rsid w:val="00B13C99"/>
    <w:rsid w:val="00B17445"/>
    <w:rsid w:val="00B2321F"/>
    <w:rsid w:val="00B24CFC"/>
    <w:rsid w:val="00B2596B"/>
    <w:rsid w:val="00B30238"/>
    <w:rsid w:val="00B34F7E"/>
    <w:rsid w:val="00B4266E"/>
    <w:rsid w:val="00B53927"/>
    <w:rsid w:val="00B66F68"/>
    <w:rsid w:val="00B70D4D"/>
    <w:rsid w:val="00B71270"/>
    <w:rsid w:val="00B75968"/>
    <w:rsid w:val="00B7638E"/>
    <w:rsid w:val="00B76437"/>
    <w:rsid w:val="00B77C2B"/>
    <w:rsid w:val="00B8081F"/>
    <w:rsid w:val="00B9063C"/>
    <w:rsid w:val="00B93852"/>
    <w:rsid w:val="00B94239"/>
    <w:rsid w:val="00B94C4A"/>
    <w:rsid w:val="00BA3983"/>
    <w:rsid w:val="00BC4528"/>
    <w:rsid w:val="00BC47A6"/>
    <w:rsid w:val="00BE06C2"/>
    <w:rsid w:val="00BE4F1A"/>
    <w:rsid w:val="00BE7AE4"/>
    <w:rsid w:val="00C04B5E"/>
    <w:rsid w:val="00C07044"/>
    <w:rsid w:val="00C11145"/>
    <w:rsid w:val="00C20F17"/>
    <w:rsid w:val="00C236CC"/>
    <w:rsid w:val="00C31362"/>
    <w:rsid w:val="00C3313C"/>
    <w:rsid w:val="00C402DC"/>
    <w:rsid w:val="00C40431"/>
    <w:rsid w:val="00C627A5"/>
    <w:rsid w:val="00C7317E"/>
    <w:rsid w:val="00C9718C"/>
    <w:rsid w:val="00CA4EB1"/>
    <w:rsid w:val="00CB4FF5"/>
    <w:rsid w:val="00CB580D"/>
    <w:rsid w:val="00CD71AD"/>
    <w:rsid w:val="00CE4DFC"/>
    <w:rsid w:val="00D056F8"/>
    <w:rsid w:val="00D127AE"/>
    <w:rsid w:val="00D1645C"/>
    <w:rsid w:val="00D243ED"/>
    <w:rsid w:val="00D36EB9"/>
    <w:rsid w:val="00D45B27"/>
    <w:rsid w:val="00D51CA2"/>
    <w:rsid w:val="00D63457"/>
    <w:rsid w:val="00D63532"/>
    <w:rsid w:val="00D6501B"/>
    <w:rsid w:val="00D6755E"/>
    <w:rsid w:val="00D75B69"/>
    <w:rsid w:val="00D86E45"/>
    <w:rsid w:val="00D92B18"/>
    <w:rsid w:val="00DA509A"/>
    <w:rsid w:val="00DA5319"/>
    <w:rsid w:val="00DC6341"/>
    <w:rsid w:val="00DC641B"/>
    <w:rsid w:val="00DD7C93"/>
    <w:rsid w:val="00DF3F12"/>
    <w:rsid w:val="00DF4449"/>
    <w:rsid w:val="00E0627A"/>
    <w:rsid w:val="00E06D4F"/>
    <w:rsid w:val="00E30260"/>
    <w:rsid w:val="00E32067"/>
    <w:rsid w:val="00E34CFA"/>
    <w:rsid w:val="00E46AAE"/>
    <w:rsid w:val="00E47337"/>
    <w:rsid w:val="00E60DDD"/>
    <w:rsid w:val="00E71D5E"/>
    <w:rsid w:val="00E85F18"/>
    <w:rsid w:val="00E91D78"/>
    <w:rsid w:val="00E9610F"/>
    <w:rsid w:val="00E97188"/>
    <w:rsid w:val="00EA0449"/>
    <w:rsid w:val="00EA22D5"/>
    <w:rsid w:val="00EB1D42"/>
    <w:rsid w:val="00EB5765"/>
    <w:rsid w:val="00EC01C5"/>
    <w:rsid w:val="00EC1E46"/>
    <w:rsid w:val="00EE1A8B"/>
    <w:rsid w:val="00EE35A5"/>
    <w:rsid w:val="00EE5FCF"/>
    <w:rsid w:val="00EF0E53"/>
    <w:rsid w:val="00F0179A"/>
    <w:rsid w:val="00F044B3"/>
    <w:rsid w:val="00F070C5"/>
    <w:rsid w:val="00F10328"/>
    <w:rsid w:val="00F10543"/>
    <w:rsid w:val="00F16246"/>
    <w:rsid w:val="00F2043A"/>
    <w:rsid w:val="00F244F0"/>
    <w:rsid w:val="00F31008"/>
    <w:rsid w:val="00F36960"/>
    <w:rsid w:val="00F40347"/>
    <w:rsid w:val="00F46BC8"/>
    <w:rsid w:val="00F46DF5"/>
    <w:rsid w:val="00F573FE"/>
    <w:rsid w:val="00F77ED8"/>
    <w:rsid w:val="00F8483F"/>
    <w:rsid w:val="00F868DA"/>
    <w:rsid w:val="00F922E4"/>
    <w:rsid w:val="00FB5D1C"/>
    <w:rsid w:val="00FD4C68"/>
    <w:rsid w:val="00FF56CC"/>
    <w:rsid w:val="00FF5C50"/>
    <w:rsid w:val="021913C7"/>
    <w:rsid w:val="02C86840"/>
    <w:rsid w:val="03C205CF"/>
    <w:rsid w:val="03C4467E"/>
    <w:rsid w:val="047D4377"/>
    <w:rsid w:val="07453C44"/>
    <w:rsid w:val="07603356"/>
    <w:rsid w:val="08C01BD2"/>
    <w:rsid w:val="0A4C4A44"/>
    <w:rsid w:val="0AB228F6"/>
    <w:rsid w:val="0AFF4C34"/>
    <w:rsid w:val="0DC7437D"/>
    <w:rsid w:val="12343DA8"/>
    <w:rsid w:val="13EF2C43"/>
    <w:rsid w:val="153C6A85"/>
    <w:rsid w:val="177F36E7"/>
    <w:rsid w:val="190470B1"/>
    <w:rsid w:val="19273811"/>
    <w:rsid w:val="1A1D4EFA"/>
    <w:rsid w:val="1ADD0F44"/>
    <w:rsid w:val="1B143AF8"/>
    <w:rsid w:val="1C062F8D"/>
    <w:rsid w:val="1DB67AAD"/>
    <w:rsid w:val="219936E2"/>
    <w:rsid w:val="233C2170"/>
    <w:rsid w:val="23EA710C"/>
    <w:rsid w:val="25675A3B"/>
    <w:rsid w:val="26D47BBF"/>
    <w:rsid w:val="29226266"/>
    <w:rsid w:val="2BE5357A"/>
    <w:rsid w:val="2CF47FC1"/>
    <w:rsid w:val="32576B8E"/>
    <w:rsid w:val="32DB706C"/>
    <w:rsid w:val="335A1775"/>
    <w:rsid w:val="383B2EA0"/>
    <w:rsid w:val="395F496C"/>
    <w:rsid w:val="3AB46F3A"/>
    <w:rsid w:val="3C4A53EA"/>
    <w:rsid w:val="3EED2BFF"/>
    <w:rsid w:val="42397786"/>
    <w:rsid w:val="442E3AB9"/>
    <w:rsid w:val="460A12D2"/>
    <w:rsid w:val="470F3D1C"/>
    <w:rsid w:val="49876379"/>
    <w:rsid w:val="4AAC3934"/>
    <w:rsid w:val="4AF01D58"/>
    <w:rsid w:val="4CEF6728"/>
    <w:rsid w:val="4DE32AD2"/>
    <w:rsid w:val="4E26582F"/>
    <w:rsid w:val="4E745E92"/>
    <w:rsid w:val="5049236A"/>
    <w:rsid w:val="5110238F"/>
    <w:rsid w:val="55401CAB"/>
    <w:rsid w:val="56F3085D"/>
    <w:rsid w:val="571E77BD"/>
    <w:rsid w:val="59CF27A9"/>
    <w:rsid w:val="5A4C2893"/>
    <w:rsid w:val="5A620AF6"/>
    <w:rsid w:val="5B7200D7"/>
    <w:rsid w:val="5DB3510D"/>
    <w:rsid w:val="60DF6CC2"/>
    <w:rsid w:val="61070B95"/>
    <w:rsid w:val="63F22A20"/>
    <w:rsid w:val="66F551B0"/>
    <w:rsid w:val="67AA0FCD"/>
    <w:rsid w:val="6A5D01A4"/>
    <w:rsid w:val="6B367AA7"/>
    <w:rsid w:val="6BE25E17"/>
    <w:rsid w:val="6C9518A9"/>
    <w:rsid w:val="6CBC78E1"/>
    <w:rsid w:val="6CD7423E"/>
    <w:rsid w:val="6D3F3613"/>
    <w:rsid w:val="70FE448F"/>
    <w:rsid w:val="73E610C9"/>
    <w:rsid w:val="746D7236"/>
    <w:rsid w:val="74C460BA"/>
    <w:rsid w:val="761A4EC4"/>
    <w:rsid w:val="78B13B95"/>
    <w:rsid w:val="79D42231"/>
    <w:rsid w:val="7A141937"/>
    <w:rsid w:val="7A39259C"/>
    <w:rsid w:val="7AE112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6">
    <w:name w:val="heading 1"/>
    <w:basedOn w:val="1"/>
    <w:next w:val="1"/>
    <w:qFormat/>
    <w:uiPriority w:val="0"/>
    <w:pPr>
      <w:keepNext/>
      <w:keepLines/>
      <w:spacing w:before="10" w:beforeLines="0" w:beforeAutospacing="0" w:after="10" w:afterLines="0" w:afterAutospacing="0" w:line="276" w:lineRule="auto"/>
      <w:outlineLvl w:val="0"/>
    </w:pPr>
    <w:rPr>
      <w:rFonts w:eastAsia="微软雅黑"/>
      <w:b/>
      <w:kern w:val="44"/>
      <w:sz w:val="28"/>
    </w:rPr>
  </w:style>
  <w:style w:type="paragraph" w:styleId="7">
    <w:name w:val="heading 2"/>
    <w:basedOn w:val="1"/>
    <w:next w:val="1"/>
    <w:qFormat/>
    <w:uiPriority w:val="0"/>
    <w:pPr>
      <w:keepNext/>
      <w:keepLines/>
      <w:spacing w:before="10" w:after="10" w:line="276" w:lineRule="auto"/>
      <w:outlineLvl w:val="1"/>
    </w:pPr>
    <w:rPr>
      <w:rFonts w:ascii="Cambria" w:hAnsi="Cambria" w:eastAsia="微软雅黑"/>
      <w:b/>
      <w:bCs/>
      <w:sz w:val="24"/>
      <w:szCs w:val="32"/>
    </w:rPr>
  </w:style>
  <w:style w:type="paragraph" w:styleId="8">
    <w:name w:val="heading 3"/>
    <w:basedOn w:val="1"/>
    <w:next w:val="1"/>
    <w:qFormat/>
    <w:uiPriority w:val="9"/>
    <w:pPr>
      <w:keepNext/>
      <w:keepLines/>
      <w:spacing w:before="260" w:after="260" w:line="416" w:lineRule="auto"/>
      <w:outlineLvl w:val="2"/>
    </w:pPr>
    <w:rPr>
      <w:b/>
      <w:bCs/>
      <w:sz w:val="28"/>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3"/>
    <w:qFormat/>
    <w:uiPriority w:val="0"/>
    <w:pPr>
      <w:spacing w:after="120" w:afterLines="0"/>
      <w:ind w:left="1440" w:leftChars="700" w:right="1440" w:rightChars="700"/>
    </w:pPr>
    <w:rPr>
      <w:rFonts w:ascii="Times New Roman" w:hAnsi="Times New Roman" w:eastAsia="宋体" w:cs="Times New Roman"/>
    </w:rPr>
  </w:style>
  <w:style w:type="paragraph" w:styleId="3">
    <w:name w:val="Body Text"/>
    <w:basedOn w:val="1"/>
    <w:next w:val="4"/>
    <w:link w:val="54"/>
    <w:qFormat/>
    <w:uiPriority w:val="0"/>
    <w:pPr>
      <w:spacing w:after="120"/>
    </w:pPr>
    <w:rPr>
      <w:rFonts w:ascii="Calibri" w:hAnsi="Calibri"/>
      <w:szCs w:val="22"/>
    </w:rPr>
  </w:style>
  <w:style w:type="paragraph" w:customStyle="1" w:styleId="4">
    <w:name w:val="style4"/>
    <w:basedOn w:val="1"/>
    <w:next w:val="5"/>
    <w:qFormat/>
    <w:uiPriority w:val="0"/>
    <w:pPr>
      <w:widowControl/>
      <w:spacing w:before="280" w:after="280"/>
    </w:pPr>
    <w:rPr>
      <w:rFonts w:ascii="宋体"/>
      <w:sz w:val="18"/>
    </w:rPr>
  </w:style>
  <w:style w:type="paragraph" w:customStyle="1" w:styleId="5">
    <w:name w:val="2"/>
    <w:next w:val="1"/>
    <w:qFormat/>
    <w:uiPriority w:val="0"/>
    <w:pPr>
      <w:widowControl w:val="0"/>
      <w:jc w:val="both"/>
    </w:pPr>
    <w:rPr>
      <w:rFonts w:ascii="Calibri" w:hAnsi="Calibri" w:eastAsia="宋体" w:cs="Times New Roman"/>
      <w:sz w:val="21"/>
      <w:szCs w:val="22"/>
      <w:lang w:val="en-US" w:eastAsia="zh-CN" w:bidi="ar-SA"/>
    </w:rPr>
  </w:style>
  <w:style w:type="paragraph" w:styleId="9">
    <w:name w:val="Normal Indent"/>
    <w:basedOn w:val="1"/>
    <w:qFormat/>
    <w:uiPriority w:val="0"/>
    <w:pPr>
      <w:adjustRightInd w:val="0"/>
      <w:snapToGrid w:val="0"/>
      <w:spacing w:line="300" w:lineRule="auto"/>
      <w:ind w:firstLine="200" w:firstLineChars="200"/>
    </w:pPr>
    <w:rPr>
      <w:rFonts w:ascii="华文新魏" w:eastAsia="华文新魏"/>
      <w:sz w:val="28"/>
    </w:rPr>
  </w:style>
  <w:style w:type="paragraph" w:styleId="10">
    <w:name w:val="annotation text"/>
    <w:basedOn w:val="1"/>
    <w:link w:val="47"/>
    <w:unhideWhenUsed/>
    <w:qFormat/>
    <w:uiPriority w:val="99"/>
    <w:pPr>
      <w:jc w:val="left"/>
    </w:pPr>
  </w:style>
  <w:style w:type="paragraph" w:styleId="11">
    <w:name w:val="Plain Text"/>
    <w:basedOn w:val="1"/>
    <w:qFormat/>
    <w:uiPriority w:val="0"/>
    <w:rPr>
      <w:rFonts w:ascii="宋体" w:hAnsi="Courier New" w:cs="Courier New"/>
      <w:szCs w:val="21"/>
    </w:rPr>
  </w:style>
  <w:style w:type="paragraph" w:styleId="12">
    <w:name w:val="Balloon Text"/>
    <w:basedOn w:val="1"/>
    <w:link w:val="37"/>
    <w:unhideWhenUsed/>
    <w:qFormat/>
    <w:uiPriority w:val="99"/>
    <w:rPr>
      <w:sz w:val="18"/>
      <w:szCs w:val="18"/>
    </w:rPr>
  </w:style>
  <w:style w:type="paragraph" w:styleId="13">
    <w:name w:val="footer"/>
    <w:basedOn w:val="1"/>
    <w:link w:val="3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5">
    <w:name w:val="toc 1"/>
    <w:basedOn w:val="1"/>
    <w:next w:val="1"/>
    <w:qFormat/>
    <w:uiPriority w:val="39"/>
    <w:pPr>
      <w:tabs>
        <w:tab w:val="right" w:leader="dot" w:pos="8720"/>
      </w:tabs>
      <w:snapToGrid w:val="0"/>
      <w:spacing w:line="500" w:lineRule="exact"/>
    </w:pPr>
    <w:rPr>
      <w:rFonts w:ascii="黑体" w:hAnsi="黑体" w:eastAsia="黑体"/>
      <w:sz w:val="24"/>
    </w:rPr>
  </w:style>
  <w:style w:type="paragraph" w:styleId="16">
    <w:name w:val="toc 2"/>
    <w:basedOn w:val="1"/>
    <w:next w:val="1"/>
    <w:qFormat/>
    <w:uiPriority w:val="39"/>
    <w:pPr>
      <w:ind w:left="240"/>
      <w:jc w:val="left"/>
    </w:pPr>
    <w:rPr>
      <w:smallCaps/>
      <w:sz w:val="20"/>
      <w:szCs w:val="20"/>
    </w:rPr>
  </w:style>
  <w:style w:type="paragraph" w:styleId="17">
    <w:name w:val="Body Text 2"/>
    <w:basedOn w:val="1"/>
    <w:link w:val="55"/>
    <w:qFormat/>
    <w:uiPriority w:val="0"/>
    <w:rPr>
      <w:rFonts w:ascii="宋体" w:hAnsi="宋体"/>
      <w:color w:val="000000"/>
      <w:sz w:val="24"/>
      <w:szCs w:val="24"/>
    </w:rPr>
  </w:style>
  <w:style w:type="paragraph" w:styleId="1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PingFang SC" w:hAnsi="PingFang SC" w:eastAsia="PingFang SC"/>
      <w:kern w:val="0"/>
      <w:sz w:val="24"/>
      <w:szCs w:val="24"/>
    </w:rPr>
  </w:style>
  <w:style w:type="paragraph" w:styleId="19">
    <w:name w:val="annotation subject"/>
    <w:basedOn w:val="10"/>
    <w:next w:val="10"/>
    <w:link w:val="48"/>
    <w:unhideWhenUsed/>
    <w:qFormat/>
    <w:uiPriority w:val="99"/>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FollowedHyperlink"/>
    <w:basedOn w:val="22"/>
    <w:unhideWhenUsed/>
    <w:qFormat/>
    <w:uiPriority w:val="99"/>
    <w:rPr>
      <w:color w:val="3F88BF"/>
      <w:u w:val="none"/>
    </w:rPr>
  </w:style>
  <w:style w:type="character" w:styleId="25">
    <w:name w:val="Emphasis"/>
    <w:basedOn w:val="22"/>
    <w:qFormat/>
    <w:uiPriority w:val="20"/>
  </w:style>
  <w:style w:type="character" w:styleId="26">
    <w:name w:val="HTML Definition"/>
    <w:basedOn w:val="22"/>
    <w:unhideWhenUsed/>
    <w:qFormat/>
    <w:uiPriority w:val="99"/>
  </w:style>
  <w:style w:type="character" w:styleId="27">
    <w:name w:val="HTML Variable"/>
    <w:basedOn w:val="22"/>
    <w:unhideWhenUsed/>
    <w:qFormat/>
    <w:uiPriority w:val="99"/>
  </w:style>
  <w:style w:type="character" w:styleId="28">
    <w:name w:val="Hyperlink"/>
    <w:basedOn w:val="22"/>
    <w:unhideWhenUsed/>
    <w:qFormat/>
    <w:uiPriority w:val="99"/>
    <w:rPr>
      <w:color w:val="3F88BF"/>
      <w:u w:val="none"/>
    </w:rPr>
  </w:style>
  <w:style w:type="character" w:styleId="29">
    <w:name w:val="HTML Code"/>
    <w:basedOn w:val="22"/>
    <w:unhideWhenUsed/>
    <w:qFormat/>
    <w:uiPriority w:val="99"/>
    <w:rPr>
      <w:rFonts w:hint="eastAsia" w:ascii="PingFang SC" w:hAnsi="PingFang SC" w:eastAsia="PingFang SC" w:cs="PingFang SC"/>
      <w:sz w:val="20"/>
    </w:rPr>
  </w:style>
  <w:style w:type="character" w:styleId="30">
    <w:name w:val="annotation reference"/>
    <w:basedOn w:val="22"/>
    <w:unhideWhenUsed/>
    <w:qFormat/>
    <w:uiPriority w:val="99"/>
    <w:rPr>
      <w:sz w:val="21"/>
      <w:szCs w:val="21"/>
    </w:rPr>
  </w:style>
  <w:style w:type="character" w:styleId="31">
    <w:name w:val="HTML Cite"/>
    <w:basedOn w:val="22"/>
    <w:unhideWhenUsed/>
    <w:qFormat/>
    <w:uiPriority w:val="99"/>
  </w:style>
  <w:style w:type="character" w:styleId="32">
    <w:name w:val="HTML Keyboard"/>
    <w:basedOn w:val="22"/>
    <w:unhideWhenUsed/>
    <w:qFormat/>
    <w:uiPriority w:val="99"/>
    <w:rPr>
      <w:rFonts w:hint="default" w:ascii="PingFang SC" w:hAnsi="PingFang SC" w:eastAsia="PingFang SC" w:cs="PingFang SC"/>
      <w:sz w:val="20"/>
    </w:rPr>
  </w:style>
  <w:style w:type="character" w:styleId="33">
    <w:name w:val="HTML Sample"/>
    <w:basedOn w:val="22"/>
    <w:unhideWhenUsed/>
    <w:qFormat/>
    <w:uiPriority w:val="99"/>
    <w:rPr>
      <w:rFonts w:hint="default" w:ascii="PingFang SC" w:hAnsi="PingFang SC" w:eastAsia="PingFang SC" w:cs="PingFang SC"/>
    </w:rPr>
  </w:style>
  <w:style w:type="character" w:customStyle="1" w:styleId="34">
    <w:name w:val="页眉 Char"/>
    <w:basedOn w:val="22"/>
    <w:link w:val="14"/>
    <w:qFormat/>
    <w:uiPriority w:val="99"/>
    <w:rPr>
      <w:sz w:val="18"/>
      <w:szCs w:val="18"/>
    </w:rPr>
  </w:style>
  <w:style w:type="character" w:customStyle="1" w:styleId="35">
    <w:name w:val="页脚 Char"/>
    <w:basedOn w:val="22"/>
    <w:link w:val="13"/>
    <w:qFormat/>
    <w:uiPriority w:val="99"/>
    <w:rPr>
      <w:sz w:val="18"/>
      <w:szCs w:val="18"/>
    </w:rPr>
  </w:style>
  <w:style w:type="paragraph" w:customStyle="1" w:styleId="36">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character" w:customStyle="1" w:styleId="37">
    <w:name w:val="批注框文本 Char"/>
    <w:basedOn w:val="22"/>
    <w:link w:val="12"/>
    <w:semiHidden/>
    <w:qFormat/>
    <w:uiPriority w:val="99"/>
    <w:rPr>
      <w:rFonts w:ascii="Times New Roman" w:hAnsi="Times New Roman" w:eastAsia="宋体" w:cs="Times New Roman"/>
      <w:sz w:val="18"/>
      <w:szCs w:val="18"/>
    </w:rPr>
  </w:style>
  <w:style w:type="character" w:customStyle="1" w:styleId="38">
    <w:name w:val="release-day"/>
    <w:basedOn w:val="22"/>
    <w:qFormat/>
    <w:uiPriority w:val="0"/>
    <w:rPr>
      <w:bdr w:val="single" w:color="BDEBB0" w:sz="4" w:space="0"/>
      <w:shd w:val="clear" w:color="auto" w:fill="F5FFF1"/>
    </w:rPr>
  </w:style>
  <w:style w:type="character" w:customStyle="1" w:styleId="39">
    <w:name w:val="answer-title"/>
    <w:basedOn w:val="22"/>
    <w:qFormat/>
    <w:uiPriority w:val="0"/>
    <w:rPr>
      <w:color w:val="35B558"/>
      <w:sz w:val="22"/>
      <w:szCs w:val="22"/>
    </w:rPr>
  </w:style>
  <w:style w:type="character" w:customStyle="1" w:styleId="40">
    <w:name w:val="legend"/>
    <w:basedOn w:val="22"/>
    <w:qFormat/>
    <w:uiPriority w:val="0"/>
    <w:rPr>
      <w:rFonts w:ascii="Arial" w:hAnsi="Arial" w:cs="Arial"/>
      <w:b/>
      <w:color w:val="73B304"/>
      <w:sz w:val="14"/>
      <w:szCs w:val="14"/>
      <w:shd w:val="clear" w:color="auto" w:fill="FFFFFF"/>
    </w:rPr>
  </w:style>
  <w:style w:type="character" w:customStyle="1" w:styleId="41">
    <w:name w:val="num10"/>
    <w:basedOn w:val="22"/>
    <w:qFormat/>
    <w:uiPriority w:val="0"/>
    <w:rPr>
      <w:b/>
      <w:color w:val="FF7800"/>
    </w:rPr>
  </w:style>
  <w:style w:type="character" w:customStyle="1" w:styleId="42">
    <w:name w:val="answer-title12"/>
    <w:basedOn w:val="22"/>
    <w:qFormat/>
    <w:uiPriority w:val="0"/>
  </w:style>
  <w:style w:type="character" w:customStyle="1" w:styleId="43">
    <w:name w:val="num"/>
    <w:basedOn w:val="22"/>
    <w:qFormat/>
    <w:uiPriority w:val="0"/>
    <w:rPr>
      <w:b/>
      <w:color w:val="FF7800"/>
    </w:rPr>
  </w:style>
  <w:style w:type="character" w:customStyle="1" w:styleId="44">
    <w:name w:val="num5"/>
    <w:basedOn w:val="22"/>
    <w:qFormat/>
    <w:uiPriority w:val="0"/>
    <w:rPr>
      <w:b/>
      <w:color w:val="FF7800"/>
    </w:rPr>
  </w:style>
  <w:style w:type="character" w:customStyle="1" w:styleId="45">
    <w:name w:val="fontstrikethrough"/>
    <w:basedOn w:val="22"/>
    <w:qFormat/>
    <w:uiPriority w:val="0"/>
    <w:rPr>
      <w:strike/>
    </w:rPr>
  </w:style>
  <w:style w:type="character" w:customStyle="1" w:styleId="46">
    <w:name w:val="fontborder"/>
    <w:basedOn w:val="22"/>
    <w:qFormat/>
    <w:uiPriority w:val="0"/>
    <w:rPr>
      <w:bdr w:val="single" w:color="000000" w:sz="4" w:space="0"/>
    </w:rPr>
  </w:style>
  <w:style w:type="character" w:customStyle="1" w:styleId="47">
    <w:name w:val="批注文字 Char"/>
    <w:basedOn w:val="22"/>
    <w:link w:val="10"/>
    <w:semiHidden/>
    <w:qFormat/>
    <w:uiPriority w:val="99"/>
    <w:rPr>
      <w:kern w:val="2"/>
      <w:sz w:val="21"/>
    </w:rPr>
  </w:style>
  <w:style w:type="character" w:customStyle="1" w:styleId="48">
    <w:name w:val="批注主题 Char"/>
    <w:basedOn w:val="47"/>
    <w:link w:val="19"/>
    <w:semiHidden/>
    <w:qFormat/>
    <w:uiPriority w:val="99"/>
    <w:rPr>
      <w:b/>
      <w:bCs/>
      <w:kern w:val="2"/>
      <w:sz w:val="21"/>
    </w:rPr>
  </w:style>
  <w:style w:type="paragraph" w:customStyle="1" w:styleId="49">
    <w:name w:val="列出段落1"/>
    <w:basedOn w:val="1"/>
    <w:qFormat/>
    <w:uiPriority w:val="34"/>
    <w:pPr>
      <w:widowControl/>
      <w:spacing w:before="100" w:beforeAutospacing="1" w:after="100" w:afterAutospacing="1"/>
      <w:jc w:val="left"/>
    </w:pPr>
    <w:rPr>
      <w:rFonts w:ascii="宋体" w:hAnsi="宋体" w:cs="宋体"/>
      <w:kern w:val="0"/>
      <w:sz w:val="24"/>
      <w:szCs w:val="24"/>
    </w:rPr>
  </w:style>
  <w:style w:type="paragraph" w:customStyle="1" w:styleId="50">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51">
    <w:name w:val="apple-converted-space"/>
    <w:basedOn w:val="22"/>
    <w:qFormat/>
    <w:uiPriority w:val="0"/>
  </w:style>
  <w:style w:type="paragraph" w:styleId="52">
    <w:name w:val="List Paragraph"/>
    <w:basedOn w:val="1"/>
    <w:qFormat/>
    <w:uiPriority w:val="34"/>
    <w:pPr>
      <w:ind w:firstLine="420" w:firstLineChars="200"/>
    </w:pPr>
  </w:style>
  <w:style w:type="character" w:styleId="53">
    <w:name w:val="Placeholder Text"/>
    <w:basedOn w:val="22"/>
    <w:semiHidden/>
    <w:qFormat/>
    <w:uiPriority w:val="99"/>
    <w:rPr>
      <w:color w:val="808080"/>
    </w:rPr>
  </w:style>
  <w:style w:type="character" w:customStyle="1" w:styleId="54">
    <w:name w:val="正文文本 Char"/>
    <w:basedOn w:val="22"/>
    <w:link w:val="3"/>
    <w:qFormat/>
    <w:uiPriority w:val="0"/>
    <w:rPr>
      <w:rFonts w:ascii="Calibri" w:hAnsi="Calibri"/>
      <w:kern w:val="2"/>
      <w:sz w:val="21"/>
      <w:szCs w:val="22"/>
    </w:rPr>
  </w:style>
  <w:style w:type="character" w:customStyle="1" w:styleId="55">
    <w:name w:val="正文文本 2 Char"/>
    <w:basedOn w:val="22"/>
    <w:link w:val="17"/>
    <w:qFormat/>
    <w:uiPriority w:val="0"/>
    <w:rPr>
      <w:rFonts w:ascii="宋体" w:hAnsi="宋体"/>
      <w:color w:val="000000"/>
      <w:kern w:val="2"/>
      <w:sz w:val="24"/>
      <w:szCs w:val="24"/>
    </w:rPr>
  </w:style>
  <w:style w:type="paragraph" w:customStyle="1" w:styleId="56">
    <w:name w:val="表格"/>
    <w:basedOn w:val="1"/>
    <w:qFormat/>
    <w:uiPriority w:val="0"/>
    <w:pPr>
      <w:spacing w:beforeLines="0" w:line="400" w:lineRule="exact"/>
      <w:ind w:firstLine="0" w:firstLineChars="0"/>
      <w:jc w:val="center"/>
    </w:pPr>
    <w:rPr>
      <w:sz w:val="21"/>
    </w:rPr>
  </w:style>
  <w:style w:type="paragraph" w:customStyle="1" w:styleId="57">
    <w:name w:val="表中文字"/>
    <w:basedOn w:val="1"/>
    <w:qFormat/>
    <w:uiPriority w:val="0"/>
    <w:pPr>
      <w:snapToGrid w:val="0"/>
      <w:spacing w:line="400" w:lineRule="exact"/>
      <w:jc w:val="center"/>
    </w:pPr>
    <w:rPr>
      <w:rFonts w:ascii="Arial" w:hAnsi="Arial"/>
      <w:szCs w:val="20"/>
    </w:rPr>
  </w:style>
  <w:style w:type="paragraph" w:customStyle="1" w:styleId="58">
    <w:name w:val=" Char Char Char1 Char"/>
    <w:basedOn w:val="1"/>
    <w:qFormat/>
    <w:uiPriority w:val="0"/>
  </w:style>
  <w:style w:type="paragraph" w:customStyle="1" w:styleId="59">
    <w:name w:val="Other|1"/>
    <w:basedOn w:val="1"/>
    <w:qFormat/>
    <w:uiPriority w:val="0"/>
    <w:pPr>
      <w:widowControl w:val="0"/>
      <w:shd w:val="clear" w:color="auto" w:fill="auto"/>
      <w:jc w:val="center"/>
    </w:pPr>
    <w:rPr>
      <w:rFonts w:ascii="宋体" w:hAnsi="宋体" w:eastAsia="宋体" w:cs="宋体"/>
      <w:sz w:val="14"/>
      <w:szCs w:val="14"/>
      <w:u w:val="none"/>
      <w:shd w:val="clear" w:color="auto" w:fill="auto"/>
      <w:lang w:val="zh-TW" w:eastAsia="zh-TW" w:bidi="zh-TW"/>
    </w:rPr>
  </w:style>
  <w:style w:type="paragraph" w:customStyle="1" w:styleId="60">
    <w:name w:val="新标题样式"/>
    <w:basedOn w:val="1"/>
    <w:qFormat/>
    <w:uiPriority w:val="0"/>
    <w:pPr>
      <w:tabs>
        <w:tab w:val="left" w:pos="567"/>
      </w:tabs>
      <w:spacing w:line="360" w:lineRule="auto"/>
    </w:pPr>
    <w:rPr>
      <w:rFonts w:eastAsia="黑体"/>
      <w:b/>
      <w:spacing w:val="20"/>
      <w:sz w:val="24"/>
      <w:szCs w:val="20"/>
    </w:rPr>
  </w:style>
  <w:style w:type="paragraph" w:customStyle="1" w:styleId="61">
    <w:name w:val="Table Paragraph"/>
    <w:basedOn w:val="1"/>
    <w:qFormat/>
    <w:uiPriority w:val="1"/>
    <w:pPr>
      <w:jc w:val="center"/>
    </w:pPr>
    <w:rPr>
      <w:rFonts w:ascii="宋体" w:hAnsi="宋体" w:cs="宋体"/>
      <w:lang w:val="zh-CN" w:bidi="zh-CN"/>
    </w:rPr>
  </w:style>
  <w:style w:type="character" w:customStyle="1" w:styleId="62">
    <w:name w:val="font11"/>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3.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165C5101-BD9A-4A34-9C04-9492E3E4D2B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49</Pages>
  <Words>10594</Words>
  <Characters>13942</Characters>
  <Lines>6</Lines>
  <Paragraphs>1</Paragraphs>
  <TotalTime>126</TotalTime>
  <ScaleCrop>false</ScaleCrop>
  <LinksUpToDate>false</LinksUpToDate>
  <CharactersWithSpaces>14308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2017-08-16T01:28:00Z</dcterms:created>
  <dc:creator>微软用户</dc:creator>
  <dc:description>1</dc:description>
  <cp:lastModifiedBy>A lifetime</cp:lastModifiedBy>
  <cp:lastPrinted>2019-07-06T02:58:00Z</cp:lastPrinted>
  <dcterms:modified xsi:type="dcterms:W3CDTF">2023-05-09T02:28:22Z</dcterms:modified>
  <cp:revision>192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F917059B1DCC41BDB4DE41A90F532E3A</vt:lpwstr>
  </property>
</Properties>
</file>