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line="276" w:lineRule="auto"/>
        <w:jc w:val="center"/>
        <w:rPr>
          <w:rFonts w:ascii="黑体" w:hAnsi="黑体" w:eastAsia="黑体"/>
          <w:b/>
          <w:sz w:val="28"/>
        </w:rPr>
      </w:pPr>
    </w:p>
    <w:p>
      <w:pPr>
        <w:spacing w:before="156" w:beforeLines="50" w:line="276" w:lineRule="auto"/>
        <w:jc w:val="center"/>
        <w:rPr>
          <w:rFonts w:ascii="黑体" w:hAnsi="黑体" w:eastAsia="黑体"/>
          <w:b/>
          <w:sz w:val="28"/>
        </w:rPr>
      </w:pPr>
    </w:p>
    <w:p>
      <w:pPr>
        <w:spacing w:before="156" w:beforeLines="50" w:line="360" w:lineRule="auto"/>
        <w:jc w:val="center"/>
        <w:rPr>
          <w:rFonts w:hint="eastAsia" w:ascii="黑体" w:hAnsi="黑体" w:eastAsia="黑体"/>
          <w:b/>
          <w:sz w:val="28"/>
        </w:rPr>
      </w:pPr>
      <w:r>
        <w:rPr>
          <w:rFonts w:ascii="黑体" w:hAnsi="黑体" w:eastAsia="黑体"/>
          <w:b/>
          <w:sz w:val="28"/>
        </w:rPr>
        <w:drawing>
          <wp:inline distT="0" distB="0" distL="0" distR="0">
            <wp:extent cx="3183890" cy="1591945"/>
            <wp:effectExtent l="0" t="0" r="0" b="0"/>
            <wp:docPr id="4" name="图片 4" descr="C:\Users\YD-LH\源文件\Desktop\盈德气体集团新logo定-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YD-LH\源文件\Desktop\盈德气体集团新logo定-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183890" cy="1591945"/>
                    </a:xfrm>
                    <a:prstGeom prst="rect">
                      <a:avLst/>
                    </a:prstGeom>
                    <a:noFill/>
                    <a:ln>
                      <a:noFill/>
                    </a:ln>
                  </pic:spPr>
                </pic:pic>
              </a:graphicData>
            </a:graphic>
          </wp:inline>
        </w:drawing>
      </w:r>
    </w:p>
    <w:p>
      <w:pPr>
        <w:spacing w:before="156" w:beforeLines="50" w:line="360" w:lineRule="auto"/>
        <w:jc w:val="center"/>
        <w:rPr>
          <w:rFonts w:hint="eastAsia" w:ascii="黑体" w:hAnsi="黑体" w:eastAsia="黑体"/>
          <w:b/>
          <w:sz w:val="32"/>
          <w:lang w:val="en-US" w:eastAsia="zh-CN"/>
        </w:rPr>
      </w:pPr>
      <w:r>
        <w:rPr>
          <w:rFonts w:hint="eastAsia" w:ascii="黑体" w:hAnsi="黑体" w:eastAsia="黑体"/>
          <w:b/>
          <w:sz w:val="32"/>
        </w:rPr>
        <w:t>安阳盈德气体有限公司</w:t>
      </w:r>
      <w:r>
        <w:rPr>
          <w:rFonts w:hint="eastAsia" w:ascii="黑体" w:hAnsi="黑体" w:eastAsia="黑体"/>
          <w:b/>
          <w:sz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0" w:leftChars="0" w:right="0" w:rightChars="0" w:firstLine="0" w:firstLineChars="0"/>
        <w:jc w:val="center"/>
        <w:textAlignment w:val="auto"/>
        <w:outlineLvl w:val="9"/>
        <w:rPr>
          <w:rFonts w:hint="eastAsia" w:ascii="黑体" w:hAnsi="黑体" w:eastAsia="黑体" w:cs="Times New Roman"/>
          <w:b/>
          <w:sz w:val="44"/>
          <w:szCs w:val="44"/>
          <w:lang w:val="en-US" w:eastAsia="zh-CN"/>
        </w:rPr>
      </w:pPr>
      <w:r>
        <w:rPr>
          <w:rFonts w:hint="eastAsia" w:ascii="黑体" w:hAnsi="黑体" w:eastAsia="黑体" w:cs="Times New Roman"/>
          <w:b/>
          <w:sz w:val="44"/>
          <w:szCs w:val="44"/>
          <w:lang w:val="en-US" w:eastAsia="zh-CN"/>
        </w:rPr>
        <w:t>2020年第二季度环保排放情况信息公开</w:t>
      </w:r>
    </w:p>
    <w:p>
      <w:pPr>
        <w:spacing w:before="156" w:beforeLines="50" w:line="360" w:lineRule="auto"/>
        <w:jc w:val="center"/>
        <w:rPr>
          <w:rFonts w:hint="default" w:ascii="黑体" w:hAnsi="黑体" w:eastAsia="黑体"/>
          <w:b/>
          <w:sz w:val="52"/>
          <w:lang w:val="en-US" w:eastAsia="zh-CN"/>
        </w:rPr>
      </w:pPr>
    </w:p>
    <w:p>
      <w:pPr>
        <w:snapToGrid w:val="0"/>
        <w:spacing w:line="360" w:lineRule="auto"/>
        <w:jc w:val="center"/>
        <w:rPr>
          <w:rFonts w:ascii="黑体" w:hAnsi="黑体" w:eastAsia="黑体"/>
          <w:b/>
          <w:sz w:val="52"/>
        </w:rPr>
      </w:pPr>
    </w:p>
    <w:p>
      <w:pPr>
        <w:spacing w:before="156" w:beforeLines="50" w:line="276" w:lineRule="auto"/>
        <w:rPr>
          <w:rFonts w:hint="eastAsia" w:ascii="黑体" w:hAnsi="黑体" w:eastAsia="黑体"/>
          <w:b/>
          <w:sz w:val="28"/>
          <w:lang w:eastAsia="zh-CN"/>
        </w:rPr>
      </w:pPr>
      <w:r>
        <w:rPr>
          <w:rFonts w:hint="eastAsia" w:ascii="黑体" w:hAnsi="黑体" w:eastAsia="黑体"/>
          <w:b/>
          <w:sz w:val="52"/>
          <w:lang w:val="en-US" w:eastAsia="zh-CN"/>
        </w:rPr>
        <w:t xml:space="preserve"> </w:t>
      </w:r>
    </w:p>
    <w:p>
      <w:pPr>
        <w:spacing w:before="156" w:beforeLines="50" w:line="276" w:lineRule="auto"/>
        <w:jc w:val="both"/>
        <w:rPr>
          <w:rFonts w:hint="eastAsia" w:ascii="黑体" w:hAnsi="黑体" w:eastAsia="黑体"/>
          <w:b/>
          <w:sz w:val="32"/>
          <w:szCs w:val="32"/>
        </w:rPr>
      </w:pPr>
    </w:p>
    <w:p>
      <w:pPr>
        <w:spacing w:line="360" w:lineRule="auto"/>
        <w:jc w:val="center"/>
        <w:rPr>
          <w:rFonts w:hint="eastAsia" w:ascii="黑体" w:hAnsi="黑体" w:eastAsia="黑体"/>
          <w:b/>
          <w:bCs/>
          <w:sz w:val="32"/>
          <w:szCs w:val="32"/>
          <w:lang w:val="en-US" w:eastAsia="zh-CN"/>
        </w:rPr>
      </w:pPr>
      <w:r>
        <w:rPr>
          <w:rFonts w:hint="eastAsia" w:ascii="黑体" w:hAnsi="黑体" w:eastAsia="黑体"/>
          <w:b/>
          <w:bCs/>
          <w:sz w:val="32"/>
          <w:szCs w:val="32"/>
          <w:lang w:val="en-US" w:eastAsia="zh-CN"/>
        </w:rPr>
        <w:t>编制</w:t>
      </w:r>
      <w:r>
        <w:rPr>
          <w:rFonts w:hint="eastAsia" w:ascii="黑体" w:hAnsi="黑体" w:eastAsia="黑体"/>
          <w:b/>
          <w:bCs/>
          <w:sz w:val="32"/>
          <w:szCs w:val="32"/>
        </w:rPr>
        <w:t>：</w:t>
      </w:r>
      <w:r>
        <w:rPr>
          <w:rFonts w:hint="eastAsia" w:ascii="黑体" w:hAnsi="黑体" w:eastAsia="黑体"/>
          <w:b/>
          <w:bCs/>
          <w:sz w:val="32"/>
          <w:szCs w:val="32"/>
          <w:lang w:val="en-US" w:eastAsia="zh-CN"/>
        </w:rPr>
        <w:t xml:space="preserve"> </w:t>
      </w:r>
    </w:p>
    <w:p>
      <w:pPr>
        <w:spacing w:line="360" w:lineRule="auto"/>
        <w:jc w:val="center"/>
        <w:rPr>
          <w:rFonts w:hint="eastAsia" w:ascii="黑体" w:hAnsi="黑体" w:eastAsia="黑体"/>
          <w:b/>
          <w:bCs/>
          <w:sz w:val="32"/>
          <w:szCs w:val="32"/>
          <w:lang w:val="en-US" w:eastAsia="zh-CN"/>
        </w:rPr>
      </w:pPr>
    </w:p>
    <w:p>
      <w:pPr>
        <w:spacing w:line="360" w:lineRule="auto"/>
        <w:jc w:val="center"/>
        <w:rPr>
          <w:rFonts w:hint="eastAsia" w:ascii="黑体" w:hAnsi="黑体" w:eastAsia="黑体" w:cs="Times New Roman"/>
          <w:b/>
          <w:bCs/>
          <w:kern w:val="2"/>
          <w:sz w:val="32"/>
          <w:szCs w:val="32"/>
          <w:lang w:val="zh-CN" w:eastAsia="zh-CN" w:bidi="ar-SA"/>
        </w:rPr>
      </w:pPr>
      <w:r>
        <w:rPr>
          <w:rFonts w:hint="eastAsia" w:ascii="黑体" w:hAnsi="黑体" w:eastAsia="黑体"/>
          <w:b/>
          <w:bCs/>
          <w:sz w:val="32"/>
          <w:szCs w:val="32"/>
          <w:lang w:val="en-US" w:eastAsia="zh-CN"/>
        </w:rPr>
        <w:t>审核：</w:t>
      </w:r>
      <w:r>
        <w:rPr>
          <w:rFonts w:hint="eastAsia" w:ascii="黑体" w:hAnsi="黑体" w:eastAsia="黑体"/>
          <w:b/>
          <w:bCs/>
          <w:sz w:val="32"/>
          <w:szCs w:val="32"/>
          <w:u w:val="single"/>
          <w:lang w:val="en-US" w:eastAsia="zh-CN"/>
        </w:rPr>
        <w:t xml:space="preserve"> </w:t>
      </w:r>
    </w:p>
    <w:p>
      <w:pPr>
        <w:pStyle w:val="9"/>
        <w:jc w:val="both"/>
        <w:rPr>
          <w:rFonts w:hint="eastAsia" w:ascii="黑体" w:hAnsi="黑体" w:eastAsia="黑体" w:cs="Times New Roman"/>
          <w:b/>
          <w:bCs/>
          <w:kern w:val="2"/>
          <w:sz w:val="32"/>
          <w:szCs w:val="32"/>
          <w:lang w:val="zh-CN" w:eastAsia="zh-CN" w:bidi="ar-SA"/>
        </w:rPr>
      </w:pPr>
    </w:p>
    <w:p>
      <w:pPr>
        <w:pStyle w:val="9"/>
        <w:jc w:val="center"/>
        <w:rPr>
          <w:rFonts w:hint="eastAsia" w:ascii="黑体" w:hAnsi="黑体" w:eastAsia="黑体" w:cs="Times New Roman"/>
          <w:b/>
          <w:bCs/>
          <w:kern w:val="2"/>
          <w:sz w:val="32"/>
          <w:szCs w:val="32"/>
          <w:lang w:val="zh-CN" w:eastAsia="zh-CN" w:bidi="ar-SA"/>
        </w:rPr>
      </w:pPr>
      <w:r>
        <w:rPr>
          <w:rFonts w:hint="eastAsia" w:ascii="黑体" w:hAnsi="黑体" w:eastAsia="黑体" w:cs="Times New Roman"/>
          <w:b/>
          <w:bCs/>
          <w:kern w:val="2"/>
          <w:sz w:val="32"/>
          <w:szCs w:val="32"/>
          <w:lang w:val="zh-CN" w:eastAsia="zh-CN" w:bidi="ar-SA"/>
        </w:rPr>
        <w:t>二零二零年</w:t>
      </w:r>
      <w:r>
        <w:rPr>
          <w:rFonts w:hint="eastAsia" w:ascii="黑体" w:hAnsi="黑体" w:eastAsia="黑体" w:cs="Times New Roman"/>
          <w:b/>
          <w:bCs/>
          <w:kern w:val="2"/>
          <w:sz w:val="32"/>
          <w:szCs w:val="32"/>
          <w:lang w:val="en-US" w:eastAsia="zh-CN" w:bidi="ar-SA"/>
        </w:rPr>
        <w:t>7</w:t>
      </w:r>
      <w:r>
        <w:rPr>
          <w:rFonts w:hint="eastAsia" w:ascii="黑体" w:hAnsi="黑体" w:eastAsia="黑体" w:cs="Times New Roman"/>
          <w:b/>
          <w:bCs/>
          <w:kern w:val="2"/>
          <w:sz w:val="32"/>
          <w:szCs w:val="32"/>
          <w:lang w:val="zh-CN" w:eastAsia="zh-CN" w:bidi="ar-SA"/>
        </w:rPr>
        <w:t>月</w:t>
      </w:r>
    </w:p>
    <w:p>
      <w:pPr>
        <w:pStyle w:val="11"/>
        <w:keepNext w:val="0"/>
        <w:keepLines w:val="0"/>
        <w:pageBreakBefore w:val="0"/>
        <w:widowControl w:val="0"/>
        <w:kinsoku/>
        <w:wordWrap/>
        <w:overflowPunct/>
        <w:topLinePunct w:val="0"/>
        <w:autoSpaceDE/>
        <w:autoSpaceDN/>
        <w:bidi w:val="0"/>
        <w:adjustRightInd/>
        <w:snapToGrid/>
        <w:spacing w:after="0" w:afterLines="0" w:line="480" w:lineRule="exact"/>
        <w:ind w:left="0" w:leftChars="0" w:right="0" w:rightChars="0" w:firstLine="0" w:firstLineChars="0"/>
        <w:textAlignment w:val="auto"/>
        <w:rPr>
          <w:rFonts w:hint="eastAsia"/>
          <w:lang w:val="en-US" w:eastAsia="zh-CN"/>
        </w:rPr>
        <w:sectPr>
          <w:headerReference r:id="rId3" w:type="default"/>
          <w:footerReference r:id="rId4" w:type="default"/>
          <w:pgSz w:w="11906" w:h="16838"/>
          <w:pgMar w:top="1440" w:right="1800" w:bottom="1440" w:left="1800" w:header="851" w:footer="992" w:gutter="0"/>
          <w:pgNumType w:fmt="decimal" w:start="1"/>
          <w:cols w:space="425" w:num="1"/>
          <w:docGrid w:type="lines" w:linePitch="312" w:charSpace="0"/>
        </w:sectPr>
      </w:pPr>
      <w:bookmarkStart w:id="0" w:name="_Toc3269"/>
    </w:p>
    <w:p>
      <w:pPr>
        <w:pStyle w:val="3"/>
        <w:bidi w:val="0"/>
        <w:rPr>
          <w:rFonts w:hint="eastAsia" w:ascii="仿宋" w:hAnsi="仿宋" w:eastAsia="仿宋" w:cs="仿宋"/>
          <w:sz w:val="32"/>
          <w:szCs w:val="32"/>
          <w:lang w:val="en-US" w:eastAsia="zh-CN"/>
        </w:rPr>
      </w:pPr>
      <w:bookmarkStart w:id="1" w:name="_Toc23139"/>
      <w:r>
        <w:rPr>
          <w:rFonts w:hint="eastAsia" w:ascii="仿宋" w:hAnsi="仿宋" w:eastAsia="仿宋" w:cs="仿宋"/>
          <w:sz w:val="32"/>
          <w:szCs w:val="32"/>
          <w:lang w:val="en-US" w:eastAsia="zh-CN"/>
        </w:rPr>
        <w:t>1 前言</w:t>
      </w:r>
      <w:bookmarkEnd w:id="0"/>
      <w:bookmarkEnd w:id="1"/>
    </w:p>
    <w:p>
      <w:pPr>
        <w:keepNext w:val="0"/>
        <w:keepLines w:val="0"/>
        <w:pageBreakBefore w:val="0"/>
        <w:widowControl w:val="0"/>
        <w:kinsoku/>
        <w:wordWrap/>
        <w:overflowPunct/>
        <w:topLinePunct w:val="0"/>
        <w:autoSpaceDE/>
        <w:autoSpaceDN/>
        <w:bidi w:val="0"/>
        <w:adjustRightInd w:val="0"/>
        <w:snapToGrid w:val="0"/>
        <w:spacing w:line="276" w:lineRule="auto"/>
        <w:ind w:firstLine="640" w:firstLineChars="200"/>
        <w:textAlignment w:val="auto"/>
        <w:rPr>
          <w:rFonts w:hint="eastAsia" w:ascii="仿宋" w:hAnsi="仿宋" w:eastAsia="仿宋" w:cs="仿宋"/>
          <w:color w:val="000000"/>
          <w:sz w:val="32"/>
          <w:szCs w:val="32"/>
          <w:lang w:val="en-US" w:eastAsia="zh-CN"/>
        </w:rPr>
      </w:pPr>
      <w:bookmarkStart w:id="2" w:name="_Toc20039"/>
      <w:bookmarkStart w:id="3" w:name="_Toc27031"/>
      <w:r>
        <w:rPr>
          <w:rFonts w:hint="eastAsia" w:ascii="仿宋" w:hAnsi="仿宋" w:eastAsia="仿宋" w:cs="仿宋"/>
          <w:color w:val="000000"/>
          <w:sz w:val="32"/>
          <w:szCs w:val="32"/>
          <w:lang w:val="en-US" w:eastAsia="zh-CN"/>
        </w:rPr>
        <w:t xml:space="preserve">企业根据《中华人民共和国环境保护法》、《企业事业单位环境信息公开办法》等有关规定，对我公司2020年第二季度环保排污情况进行信息公开。 </w:t>
      </w:r>
    </w:p>
    <w:bookmarkEnd w:id="2"/>
    <w:bookmarkEnd w:id="3"/>
    <w:p>
      <w:pPr>
        <w:pStyle w:val="3"/>
        <w:bidi w:val="0"/>
        <w:rPr>
          <w:rFonts w:hint="eastAsia" w:ascii="仿宋" w:hAnsi="仿宋" w:eastAsia="仿宋" w:cs="仿宋"/>
          <w:sz w:val="32"/>
          <w:szCs w:val="32"/>
          <w:lang w:val="en-US" w:eastAsia="zh-CN"/>
        </w:rPr>
      </w:pPr>
      <w:bookmarkStart w:id="4" w:name="_Toc9315"/>
      <w:bookmarkStart w:id="5" w:name="_Toc2426"/>
      <w:r>
        <w:rPr>
          <w:rFonts w:hint="eastAsia" w:ascii="仿宋" w:hAnsi="仿宋" w:eastAsia="仿宋" w:cs="仿宋"/>
          <w:sz w:val="32"/>
          <w:szCs w:val="32"/>
          <w:lang w:val="en-US" w:eastAsia="zh-CN"/>
        </w:rPr>
        <w:t>2 企业基本情况</w:t>
      </w:r>
      <w:bookmarkEnd w:id="4"/>
      <w:bookmarkEnd w:id="5"/>
    </w:p>
    <w:p>
      <w:pPr>
        <w:pStyle w:val="4"/>
        <w:bidi w:val="0"/>
        <w:rPr>
          <w:rFonts w:hint="eastAsia" w:ascii="仿宋" w:hAnsi="仿宋" w:eastAsia="仿宋" w:cs="仿宋"/>
          <w:sz w:val="32"/>
          <w:szCs w:val="32"/>
          <w:lang w:val="en-US" w:eastAsia="zh-CN"/>
        </w:rPr>
      </w:pPr>
      <w:bookmarkStart w:id="6" w:name="_Toc412"/>
      <w:bookmarkStart w:id="7" w:name="_Toc9907"/>
      <w:r>
        <w:rPr>
          <w:rFonts w:hint="eastAsia" w:ascii="仿宋" w:hAnsi="仿宋" w:eastAsia="仿宋" w:cs="仿宋"/>
          <w:sz w:val="32"/>
          <w:szCs w:val="32"/>
          <w:lang w:val="en-US" w:eastAsia="zh-CN"/>
        </w:rPr>
        <w:t>2.1 企业基本信息</w:t>
      </w:r>
      <w:bookmarkEnd w:id="6"/>
      <w:bookmarkEnd w:id="7"/>
    </w:p>
    <w:p>
      <w:pPr>
        <w:keepNext w:val="0"/>
        <w:keepLines w:val="0"/>
        <w:pageBreakBefore w:val="0"/>
        <w:widowControl w:val="0"/>
        <w:kinsoku/>
        <w:wordWrap/>
        <w:overflowPunct/>
        <w:topLinePunct w:val="0"/>
        <w:autoSpaceDE/>
        <w:autoSpaceDN/>
        <w:bidi w:val="0"/>
        <w:adjustRightInd w:val="0"/>
        <w:snapToGrid w:val="0"/>
        <w:spacing w:line="276" w:lineRule="auto"/>
        <w:ind w:firstLine="640" w:firstLineChars="200"/>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sz w:val="32"/>
          <w:szCs w:val="32"/>
          <w:lang w:val="en-US" w:eastAsia="zh-CN"/>
        </w:rPr>
        <w:t>企业基本信息统计见下表。</w:t>
      </w:r>
    </w:p>
    <w:p>
      <w:pPr>
        <w:jc w:val="center"/>
        <w:rPr>
          <w:rFonts w:hint="default" w:ascii="Times New Roman" w:hAnsi="Times New Roman" w:eastAsia="宋体" w:cs="Times New Roman"/>
          <w:color w:val="000000"/>
          <w:kern w:val="2"/>
          <w:sz w:val="21"/>
          <w:szCs w:val="21"/>
          <w:lang w:val="en-US" w:eastAsia="zh-CN" w:bidi="ar-SA"/>
        </w:rPr>
      </w:pPr>
    </w:p>
    <w:p>
      <w:pPr>
        <w:jc w:val="center"/>
        <w:rPr>
          <w:rFonts w:hint="eastAsia" w:ascii="Times New Roman" w:hAnsi="Times New Roman" w:eastAsia="宋体" w:cs="Times New Roman"/>
          <w:b/>
          <w:bCs/>
          <w:color w:val="auto"/>
          <w:sz w:val="44"/>
          <w:szCs w:val="44"/>
          <w:lang w:eastAsia="zh-CN"/>
        </w:rPr>
      </w:pPr>
      <w:r>
        <w:rPr>
          <w:rFonts w:hint="default" w:ascii="Times New Roman" w:hAnsi="Times New Roman" w:eastAsia="宋体" w:cs="Times New Roman"/>
          <w:color w:val="000000"/>
          <w:kern w:val="2"/>
          <w:sz w:val="21"/>
          <w:szCs w:val="21"/>
          <w:lang w:val="en-US" w:eastAsia="zh-CN" w:bidi="ar-SA"/>
        </w:rPr>
        <w:t>表</w:t>
      </w:r>
      <w:r>
        <w:rPr>
          <w:rFonts w:hint="eastAsia" w:ascii="Times New Roman" w:hAnsi="Times New Roman" w:cs="Times New Roman"/>
          <w:color w:val="000000"/>
          <w:kern w:val="2"/>
          <w:sz w:val="21"/>
          <w:szCs w:val="21"/>
          <w:lang w:val="en-US" w:eastAsia="zh-CN" w:bidi="ar-SA"/>
        </w:rPr>
        <w:t>1</w:t>
      </w:r>
      <w:r>
        <w:rPr>
          <w:rFonts w:hint="default" w:ascii="Times New Roman" w:hAnsi="Times New Roman" w:eastAsia="宋体" w:cs="Times New Roman"/>
          <w:color w:val="000000"/>
          <w:kern w:val="2"/>
          <w:sz w:val="21"/>
          <w:szCs w:val="21"/>
          <w:lang w:val="en-US" w:eastAsia="zh-CN" w:bidi="ar-SA"/>
        </w:rPr>
        <w:t xml:space="preserve"> </w:t>
      </w:r>
      <w:r>
        <w:rPr>
          <w:rFonts w:hint="eastAsia" w:ascii="Times New Roman" w:hAnsi="Times New Roman" w:cs="Times New Roman"/>
          <w:color w:val="000000"/>
          <w:kern w:val="2"/>
          <w:sz w:val="21"/>
          <w:szCs w:val="21"/>
          <w:lang w:val="en-US" w:eastAsia="zh-CN" w:bidi="ar-SA"/>
        </w:rPr>
        <w:t xml:space="preserve"> </w:t>
      </w:r>
      <w:r>
        <w:rPr>
          <w:rFonts w:hint="default" w:ascii="Times New Roman" w:hAnsi="Times New Roman" w:eastAsia="宋体" w:cs="Times New Roman"/>
          <w:color w:val="000000"/>
          <w:kern w:val="2"/>
          <w:sz w:val="21"/>
          <w:szCs w:val="21"/>
          <w:lang w:val="en-US" w:eastAsia="zh-CN" w:bidi="ar-SA"/>
        </w:rPr>
        <w:t>企业基本信息统计表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8"/>
        <w:gridCol w:w="2856"/>
        <w:gridCol w:w="1701"/>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8" w:type="dxa"/>
            <w:noWrap w:val="0"/>
            <w:vAlign w:val="center"/>
          </w:tcPr>
          <w:p>
            <w:pPr>
              <w:widowControl/>
              <w:spacing w:line="360" w:lineRule="auto"/>
              <w:jc w:val="center"/>
              <w:rPr>
                <w:szCs w:val="21"/>
              </w:rPr>
            </w:pPr>
            <w:r>
              <w:rPr>
                <w:szCs w:val="21"/>
              </w:rPr>
              <w:t>名称</w:t>
            </w:r>
          </w:p>
        </w:tc>
        <w:tc>
          <w:tcPr>
            <w:tcW w:w="6734" w:type="dxa"/>
            <w:gridSpan w:val="3"/>
            <w:noWrap w:val="0"/>
            <w:vAlign w:val="center"/>
          </w:tcPr>
          <w:p>
            <w:pPr>
              <w:widowControl/>
              <w:spacing w:line="360" w:lineRule="auto"/>
              <w:jc w:val="center"/>
              <w:rPr>
                <w:rFonts w:hint="default" w:eastAsia="宋体"/>
                <w:szCs w:val="21"/>
                <w:lang w:val="en-US" w:eastAsia="zh-CN"/>
              </w:rPr>
            </w:pPr>
            <w:r>
              <w:rPr>
                <w:rFonts w:hint="eastAsia"/>
                <w:color w:val="000000"/>
                <w:szCs w:val="21"/>
                <w:lang w:val="en-US" w:eastAsia="zh-CN"/>
              </w:rPr>
              <w:t>安阳盈德气体有限公司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8" w:type="dxa"/>
            <w:noWrap w:val="0"/>
            <w:vAlign w:val="center"/>
          </w:tcPr>
          <w:p>
            <w:pPr>
              <w:widowControl/>
              <w:spacing w:line="360" w:lineRule="auto"/>
              <w:jc w:val="center"/>
              <w:rPr>
                <w:szCs w:val="21"/>
              </w:rPr>
            </w:pPr>
            <w:r>
              <w:rPr>
                <w:szCs w:val="21"/>
              </w:rPr>
              <w:t>地址</w:t>
            </w:r>
          </w:p>
        </w:tc>
        <w:tc>
          <w:tcPr>
            <w:tcW w:w="2856" w:type="dxa"/>
            <w:noWrap w:val="0"/>
            <w:vAlign w:val="center"/>
          </w:tcPr>
          <w:p>
            <w:pPr>
              <w:pStyle w:val="49"/>
              <w:spacing w:line="360" w:lineRule="auto"/>
              <w:ind w:left="0"/>
              <w:jc w:val="center"/>
              <w:rPr>
                <w:rFonts w:hint="default" w:ascii="Times New Roman" w:hAnsi="Times New Roman" w:eastAsia="宋体"/>
                <w:color w:val="000000"/>
                <w:kern w:val="2"/>
                <w:sz w:val="21"/>
                <w:szCs w:val="21"/>
                <w:lang w:val="en-US" w:eastAsia="zh-CN"/>
              </w:rPr>
            </w:pPr>
            <w:r>
              <w:rPr>
                <w:rFonts w:hint="eastAsia" w:ascii="Times New Roman" w:hAnsi="Times New Roman"/>
                <w:color w:val="000000"/>
                <w:kern w:val="2"/>
                <w:sz w:val="21"/>
                <w:szCs w:val="21"/>
                <w:lang w:val="en-US" w:eastAsia="zh-CN"/>
              </w:rPr>
              <w:t>滑县产业集聚区中盈路2号</w:t>
            </w:r>
          </w:p>
        </w:tc>
        <w:tc>
          <w:tcPr>
            <w:tcW w:w="1701" w:type="dxa"/>
            <w:noWrap w:val="0"/>
            <w:vAlign w:val="center"/>
          </w:tcPr>
          <w:p>
            <w:pPr>
              <w:widowControl/>
              <w:spacing w:line="360" w:lineRule="auto"/>
              <w:jc w:val="center"/>
              <w:rPr>
                <w:szCs w:val="21"/>
              </w:rPr>
            </w:pPr>
            <w:r>
              <w:rPr>
                <w:szCs w:val="21"/>
              </w:rPr>
              <w:t>所在市</w:t>
            </w:r>
          </w:p>
        </w:tc>
        <w:tc>
          <w:tcPr>
            <w:tcW w:w="2177" w:type="dxa"/>
            <w:noWrap w:val="0"/>
            <w:vAlign w:val="center"/>
          </w:tcPr>
          <w:p>
            <w:pPr>
              <w:widowControl/>
              <w:spacing w:line="360" w:lineRule="auto"/>
              <w:jc w:val="center"/>
              <w:rPr>
                <w:szCs w:val="21"/>
              </w:rPr>
            </w:pPr>
            <w:r>
              <w:rPr>
                <w:szCs w:val="21"/>
              </w:rPr>
              <w:t>安阳市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8" w:type="dxa"/>
            <w:noWrap w:val="0"/>
            <w:vAlign w:val="center"/>
          </w:tcPr>
          <w:p>
            <w:pPr>
              <w:widowControl/>
              <w:spacing w:line="360" w:lineRule="auto"/>
              <w:jc w:val="center"/>
              <w:rPr>
                <w:szCs w:val="21"/>
              </w:rPr>
            </w:pPr>
            <w:r>
              <w:rPr>
                <w:rFonts w:hint="eastAsia"/>
                <w:color w:val="000000"/>
                <w:szCs w:val="21"/>
              </w:rPr>
              <w:t>成立</w:t>
            </w:r>
            <w:r>
              <w:rPr>
                <w:color w:val="000000"/>
                <w:szCs w:val="21"/>
              </w:rPr>
              <w:t>日期</w:t>
            </w:r>
          </w:p>
        </w:tc>
        <w:tc>
          <w:tcPr>
            <w:tcW w:w="6734" w:type="dxa"/>
            <w:gridSpan w:val="3"/>
            <w:noWrap w:val="0"/>
            <w:vAlign w:val="center"/>
          </w:tcPr>
          <w:p>
            <w:pPr>
              <w:widowControl/>
              <w:spacing w:line="360" w:lineRule="auto"/>
              <w:jc w:val="center"/>
              <w:rPr>
                <w:rFonts w:hint="default" w:eastAsia="宋体"/>
                <w:szCs w:val="21"/>
                <w:lang w:val="en-US" w:eastAsia="zh-CN"/>
              </w:rPr>
            </w:pPr>
            <w:r>
              <w:rPr>
                <w:color w:val="000000"/>
                <w:szCs w:val="21"/>
              </w:rPr>
              <w:t>20</w:t>
            </w:r>
            <w:r>
              <w:rPr>
                <w:rFonts w:hint="eastAsia"/>
                <w:color w:val="000000"/>
                <w:szCs w:val="21"/>
                <w:lang w:val="en-US" w:eastAsia="zh-CN"/>
              </w:rPr>
              <w:t>10</w:t>
            </w:r>
            <w:r>
              <w:rPr>
                <w:color w:val="000000"/>
                <w:szCs w:val="21"/>
              </w:rPr>
              <w:t>年</w:t>
            </w:r>
            <w:r>
              <w:rPr>
                <w:rFonts w:hint="eastAsia"/>
                <w:color w:val="000000"/>
                <w:szCs w:val="21"/>
                <w:lang w:val="en-US" w:eastAsia="zh-CN"/>
              </w:rPr>
              <w:t>9月30日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8" w:type="dxa"/>
            <w:noWrap w:val="0"/>
            <w:vAlign w:val="center"/>
          </w:tcPr>
          <w:p>
            <w:pPr>
              <w:widowControl/>
              <w:spacing w:line="360" w:lineRule="auto"/>
              <w:jc w:val="center"/>
              <w:rPr>
                <w:szCs w:val="21"/>
              </w:rPr>
            </w:pPr>
            <w:r>
              <w:rPr>
                <w:szCs w:val="21"/>
              </w:rPr>
              <w:t>法定代表人</w:t>
            </w:r>
          </w:p>
        </w:tc>
        <w:tc>
          <w:tcPr>
            <w:tcW w:w="2856" w:type="dxa"/>
            <w:noWrap w:val="0"/>
            <w:vAlign w:val="center"/>
          </w:tcPr>
          <w:p>
            <w:pPr>
              <w:widowControl/>
              <w:spacing w:line="360" w:lineRule="auto"/>
              <w:jc w:val="center"/>
              <w:rPr>
                <w:rFonts w:hint="eastAsia" w:eastAsia="宋体"/>
                <w:color w:val="000000"/>
                <w:szCs w:val="21"/>
                <w:lang w:eastAsia="zh-CN"/>
              </w:rPr>
            </w:pPr>
            <w:r>
              <w:rPr>
                <w:rFonts w:hint="eastAsia"/>
                <w:szCs w:val="21"/>
                <w:lang w:val="en-US" w:eastAsia="zh-CN"/>
              </w:rPr>
              <w:t>陈凯</w:t>
            </w:r>
          </w:p>
        </w:tc>
        <w:tc>
          <w:tcPr>
            <w:tcW w:w="1701" w:type="dxa"/>
            <w:noWrap w:val="0"/>
            <w:vAlign w:val="center"/>
          </w:tcPr>
          <w:p>
            <w:pPr>
              <w:widowControl/>
              <w:spacing w:line="360" w:lineRule="auto"/>
              <w:jc w:val="center"/>
              <w:rPr>
                <w:szCs w:val="21"/>
              </w:rPr>
            </w:pPr>
            <w:r>
              <w:rPr>
                <w:szCs w:val="21"/>
              </w:rPr>
              <w:t>邮政编码</w:t>
            </w:r>
          </w:p>
        </w:tc>
        <w:tc>
          <w:tcPr>
            <w:tcW w:w="2177" w:type="dxa"/>
            <w:noWrap w:val="0"/>
            <w:vAlign w:val="center"/>
          </w:tcPr>
          <w:p>
            <w:pPr>
              <w:widowControl/>
              <w:spacing w:line="360" w:lineRule="auto"/>
              <w:jc w:val="center"/>
              <w:rPr>
                <w:szCs w:val="21"/>
              </w:rPr>
            </w:pPr>
            <w:r>
              <w:rPr>
                <w:szCs w:val="21"/>
              </w:rPr>
              <w:t>456400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8" w:type="dxa"/>
            <w:noWrap w:val="0"/>
            <w:vAlign w:val="center"/>
          </w:tcPr>
          <w:p>
            <w:pPr>
              <w:widowControl/>
              <w:spacing w:line="360" w:lineRule="auto"/>
              <w:jc w:val="center"/>
              <w:rPr>
                <w:szCs w:val="21"/>
              </w:rPr>
            </w:pPr>
            <w:r>
              <w:rPr>
                <w:szCs w:val="21"/>
              </w:rPr>
              <w:t>联系电话</w:t>
            </w:r>
          </w:p>
        </w:tc>
        <w:tc>
          <w:tcPr>
            <w:tcW w:w="2856" w:type="dxa"/>
            <w:noWrap w:val="0"/>
            <w:vAlign w:val="center"/>
          </w:tcPr>
          <w:p>
            <w:pPr>
              <w:pStyle w:val="49"/>
              <w:spacing w:line="360" w:lineRule="auto"/>
              <w:ind w:left="0"/>
              <w:jc w:val="center"/>
              <w:rPr>
                <w:rFonts w:hint="default" w:ascii="Times New Roman" w:hAnsi="Times New Roman" w:eastAsia="宋体"/>
                <w:color w:val="000000"/>
                <w:sz w:val="21"/>
                <w:szCs w:val="21"/>
                <w:lang w:val="en-US" w:eastAsia="zh-CN"/>
              </w:rPr>
            </w:pPr>
            <w:r>
              <w:rPr>
                <w:rFonts w:hint="eastAsia" w:ascii="Times New Roman" w:hAnsi="Times New Roman"/>
                <w:color w:val="000000"/>
                <w:sz w:val="21"/>
                <w:szCs w:val="21"/>
                <w:lang w:val="en-US" w:eastAsia="zh-CN"/>
              </w:rPr>
              <w:t>15515062865</w:t>
            </w:r>
          </w:p>
        </w:tc>
        <w:tc>
          <w:tcPr>
            <w:tcW w:w="1701" w:type="dxa"/>
            <w:noWrap w:val="0"/>
            <w:vAlign w:val="center"/>
          </w:tcPr>
          <w:p>
            <w:pPr>
              <w:widowControl/>
              <w:spacing w:line="360" w:lineRule="auto"/>
              <w:jc w:val="center"/>
              <w:rPr>
                <w:rFonts w:hint="eastAsia"/>
                <w:szCs w:val="21"/>
              </w:rPr>
            </w:pPr>
            <w:r>
              <w:rPr>
                <w:rFonts w:hint="eastAsia"/>
                <w:szCs w:val="21"/>
              </w:rPr>
              <w:t>劳动定员</w:t>
            </w:r>
          </w:p>
        </w:tc>
        <w:tc>
          <w:tcPr>
            <w:tcW w:w="2177" w:type="dxa"/>
            <w:noWrap w:val="0"/>
            <w:vAlign w:val="center"/>
          </w:tcPr>
          <w:p>
            <w:pPr>
              <w:widowControl/>
              <w:spacing w:line="360" w:lineRule="auto"/>
              <w:jc w:val="center"/>
              <w:rPr>
                <w:szCs w:val="21"/>
              </w:rPr>
            </w:pPr>
            <w:r>
              <w:rPr>
                <w:rFonts w:hint="eastAsia"/>
                <w:szCs w:val="21"/>
                <w:lang w:val="en-US" w:eastAsia="zh-CN"/>
              </w:rPr>
              <w:t>287</w:t>
            </w:r>
            <w:r>
              <w:rPr>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8" w:type="dxa"/>
            <w:noWrap w:val="0"/>
            <w:vAlign w:val="center"/>
          </w:tcPr>
          <w:p>
            <w:pPr>
              <w:widowControl/>
              <w:spacing w:line="360" w:lineRule="auto"/>
              <w:jc w:val="center"/>
              <w:rPr>
                <w:szCs w:val="21"/>
              </w:rPr>
            </w:pPr>
            <w:r>
              <w:rPr>
                <w:szCs w:val="21"/>
              </w:rPr>
              <w:t>企业规模</w:t>
            </w:r>
          </w:p>
        </w:tc>
        <w:tc>
          <w:tcPr>
            <w:tcW w:w="2856" w:type="dxa"/>
            <w:noWrap w:val="0"/>
            <w:vAlign w:val="center"/>
          </w:tcPr>
          <w:p>
            <w:pPr>
              <w:pStyle w:val="49"/>
              <w:spacing w:line="360" w:lineRule="auto"/>
              <w:ind w:left="0"/>
              <w:jc w:val="center"/>
              <w:rPr>
                <w:rFonts w:hint="default" w:ascii="Times New Roman" w:hAnsi="Times New Roman" w:eastAsia="宋体"/>
                <w:color w:val="000000"/>
                <w:sz w:val="21"/>
                <w:szCs w:val="21"/>
                <w:lang w:val="en-US" w:eastAsia="zh-CN"/>
              </w:rPr>
            </w:pPr>
            <w:r>
              <w:rPr>
                <w:rFonts w:hint="eastAsia" w:ascii="Times New Roman" w:hAnsi="Times New Roman"/>
                <w:color w:val="000000"/>
                <w:sz w:val="21"/>
                <w:szCs w:val="21"/>
                <w:lang w:val="en-US" w:eastAsia="zh-CN"/>
              </w:rPr>
              <w:t>150000Nm³/h合成气</w:t>
            </w:r>
          </w:p>
        </w:tc>
        <w:tc>
          <w:tcPr>
            <w:tcW w:w="1701" w:type="dxa"/>
            <w:noWrap w:val="0"/>
            <w:vAlign w:val="center"/>
          </w:tcPr>
          <w:p>
            <w:pPr>
              <w:widowControl/>
              <w:spacing w:line="360" w:lineRule="auto"/>
              <w:jc w:val="center"/>
              <w:rPr>
                <w:szCs w:val="21"/>
              </w:rPr>
            </w:pPr>
            <w:r>
              <w:rPr>
                <w:szCs w:val="21"/>
              </w:rPr>
              <w:t>占地面积</w:t>
            </w:r>
          </w:p>
        </w:tc>
        <w:tc>
          <w:tcPr>
            <w:tcW w:w="2177" w:type="dxa"/>
            <w:noWrap w:val="0"/>
            <w:vAlign w:val="center"/>
          </w:tcPr>
          <w:p>
            <w:pPr>
              <w:keepNext w:val="0"/>
              <w:keepLines w:val="0"/>
              <w:widowControl/>
              <w:suppressLineNumbers w:val="0"/>
              <w:jc w:val="right"/>
              <w:textAlignment w:val="center"/>
              <w:rPr>
                <w:rFonts w:hint="default"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226393.3</w:t>
            </w:r>
            <w:r>
              <w:rPr>
                <w:rFonts w:hint="eastAsia" w:ascii="宋体" w:hAnsi="宋体" w:cs="宋体"/>
                <w:i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8" w:type="dxa"/>
            <w:noWrap w:val="0"/>
            <w:vAlign w:val="center"/>
          </w:tcPr>
          <w:p>
            <w:pPr>
              <w:widowControl/>
              <w:spacing w:line="360" w:lineRule="auto"/>
              <w:jc w:val="center"/>
              <w:rPr>
                <w:szCs w:val="21"/>
              </w:rPr>
            </w:pPr>
            <w:r>
              <w:rPr>
                <w:szCs w:val="21"/>
              </w:rPr>
              <w:t>主要原料</w:t>
            </w:r>
          </w:p>
        </w:tc>
        <w:tc>
          <w:tcPr>
            <w:tcW w:w="2856" w:type="dxa"/>
            <w:noWrap w:val="0"/>
            <w:vAlign w:val="center"/>
          </w:tcPr>
          <w:p>
            <w:pPr>
              <w:widowControl/>
              <w:spacing w:line="360" w:lineRule="auto"/>
              <w:jc w:val="center"/>
              <w:rPr>
                <w:rFonts w:hint="eastAsia" w:eastAsia="宋体"/>
                <w:szCs w:val="21"/>
                <w:lang w:eastAsia="zh-CN"/>
              </w:rPr>
            </w:pPr>
            <w:r>
              <w:rPr>
                <w:rFonts w:hint="eastAsia"/>
                <w:szCs w:val="21"/>
                <w:lang w:val="en-US" w:eastAsia="zh-CN"/>
              </w:rPr>
              <w:t>原料煤</w:t>
            </w:r>
          </w:p>
        </w:tc>
        <w:tc>
          <w:tcPr>
            <w:tcW w:w="1701" w:type="dxa"/>
            <w:noWrap w:val="0"/>
            <w:vAlign w:val="center"/>
          </w:tcPr>
          <w:p>
            <w:pPr>
              <w:widowControl/>
              <w:spacing w:line="360" w:lineRule="auto"/>
              <w:jc w:val="center"/>
              <w:rPr>
                <w:szCs w:val="21"/>
              </w:rPr>
            </w:pPr>
            <w:r>
              <w:rPr>
                <w:szCs w:val="21"/>
              </w:rPr>
              <w:t>所属行业</w:t>
            </w:r>
          </w:p>
        </w:tc>
        <w:tc>
          <w:tcPr>
            <w:tcW w:w="2177" w:type="dxa"/>
            <w:noWrap w:val="0"/>
            <w:vAlign w:val="center"/>
          </w:tcPr>
          <w:p>
            <w:pPr>
              <w:widowControl/>
              <w:spacing w:line="360" w:lineRule="auto"/>
              <w:jc w:val="center"/>
              <w:rPr>
                <w:rFonts w:hint="eastAsia" w:eastAsia="宋体"/>
                <w:szCs w:val="21"/>
                <w:lang w:eastAsia="zh-CN"/>
              </w:rPr>
            </w:pPr>
            <w:r>
              <w:rPr>
                <w:rFonts w:hint="eastAsia"/>
                <w:szCs w:val="21"/>
                <w:lang w:val="en-US" w:eastAsia="zh-CN"/>
              </w:rPr>
              <w:t>氮肥制造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8" w:type="dxa"/>
            <w:noWrap w:val="0"/>
            <w:vAlign w:val="center"/>
          </w:tcPr>
          <w:p>
            <w:pPr>
              <w:widowControl/>
              <w:spacing w:line="360" w:lineRule="auto"/>
              <w:jc w:val="center"/>
              <w:rPr>
                <w:szCs w:val="21"/>
              </w:rPr>
            </w:pPr>
            <w:r>
              <w:rPr>
                <w:szCs w:val="21"/>
              </w:rPr>
              <w:t>主要固体废物</w:t>
            </w:r>
          </w:p>
        </w:tc>
        <w:tc>
          <w:tcPr>
            <w:tcW w:w="6734" w:type="dxa"/>
            <w:gridSpan w:val="3"/>
            <w:noWrap w:val="0"/>
            <w:vAlign w:val="center"/>
          </w:tcPr>
          <w:p>
            <w:pPr>
              <w:widowControl/>
              <w:spacing w:line="360" w:lineRule="auto"/>
              <w:jc w:val="center"/>
              <w:rPr>
                <w:rFonts w:hint="default" w:eastAsia="宋体"/>
                <w:szCs w:val="21"/>
                <w:lang w:val="en-US" w:eastAsia="zh-CN"/>
              </w:rPr>
            </w:pPr>
            <w:r>
              <w:rPr>
                <w:rFonts w:hint="eastAsia"/>
                <w:szCs w:val="21"/>
                <w:lang w:val="en-US" w:eastAsia="zh-CN"/>
              </w:rPr>
              <w:t>灰渣、生活垃圾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8" w:type="dxa"/>
            <w:noWrap w:val="0"/>
            <w:vAlign w:val="center"/>
          </w:tcPr>
          <w:p>
            <w:pPr>
              <w:widowControl/>
              <w:spacing w:line="360" w:lineRule="auto"/>
              <w:jc w:val="center"/>
              <w:rPr>
                <w:szCs w:val="21"/>
              </w:rPr>
            </w:pPr>
            <w:r>
              <w:rPr>
                <w:szCs w:val="21"/>
              </w:rPr>
              <w:t>经度</w:t>
            </w:r>
          </w:p>
        </w:tc>
        <w:tc>
          <w:tcPr>
            <w:tcW w:w="2856" w:type="dxa"/>
            <w:noWrap w:val="0"/>
            <w:vAlign w:val="center"/>
          </w:tcPr>
          <w:p>
            <w:pPr>
              <w:rPr>
                <w:szCs w:val="21"/>
              </w:rPr>
            </w:pPr>
            <w:r>
              <w:rPr>
                <w:rFonts w:ascii="Times New Roman" w:hAnsi="Times New Roman"/>
              </w:rPr>
              <w:t>114º</w:t>
            </w:r>
            <w:r>
              <w:rPr>
                <w:rFonts w:hint="eastAsia" w:ascii="Times New Roman" w:hAnsi="Times New Roman"/>
              </w:rPr>
              <w:t xml:space="preserve"> </w:t>
            </w:r>
            <w:r>
              <w:rPr>
                <w:rFonts w:ascii="Times New Roman" w:hAnsi="Times New Roman"/>
              </w:rPr>
              <w:t>34′</w:t>
            </w:r>
            <w:r>
              <w:rPr>
                <w:rFonts w:hint="eastAsia" w:ascii="Times New Roman" w:hAnsi="Times New Roman"/>
              </w:rPr>
              <w:t xml:space="preserve"> </w:t>
            </w:r>
            <w:r>
              <w:rPr>
                <w:rFonts w:ascii="Times New Roman" w:hAnsi="Times New Roman"/>
              </w:rPr>
              <w:t>40.48″</w:t>
            </w:r>
          </w:p>
        </w:tc>
        <w:tc>
          <w:tcPr>
            <w:tcW w:w="1701" w:type="dxa"/>
            <w:noWrap w:val="0"/>
            <w:vAlign w:val="center"/>
          </w:tcPr>
          <w:p>
            <w:pPr>
              <w:rPr>
                <w:szCs w:val="21"/>
              </w:rPr>
            </w:pPr>
            <w:r>
              <w:rPr>
                <w:rFonts w:ascii="宋体" w:hAnsi="宋体"/>
              </w:rPr>
              <w:t>纬度</w:t>
            </w:r>
          </w:p>
        </w:tc>
        <w:tc>
          <w:tcPr>
            <w:tcW w:w="2177" w:type="dxa"/>
            <w:noWrap w:val="0"/>
            <w:vAlign w:val="center"/>
          </w:tcPr>
          <w:p>
            <w:pPr>
              <w:rPr>
                <w:szCs w:val="21"/>
              </w:rPr>
            </w:pPr>
            <w:r>
              <w:rPr>
                <w:rFonts w:ascii="Times New Roman" w:hAnsi="Times New Roman"/>
              </w:rPr>
              <w:t>35º</w:t>
            </w:r>
            <w:r>
              <w:rPr>
                <w:rFonts w:hint="eastAsia" w:ascii="Times New Roman" w:hAnsi="Times New Roman"/>
              </w:rPr>
              <w:t xml:space="preserve"> </w:t>
            </w:r>
            <w:r>
              <w:rPr>
                <w:rFonts w:ascii="Times New Roman" w:hAnsi="Times New Roman"/>
              </w:rPr>
              <w:t>31′</w:t>
            </w:r>
            <w:r>
              <w:rPr>
                <w:rFonts w:hint="eastAsia" w:ascii="Times New Roman" w:hAnsi="Times New Roman"/>
              </w:rPr>
              <w:t xml:space="preserve"> </w:t>
            </w:r>
            <w:r>
              <w:rPr>
                <w:rFonts w:ascii="Times New Roman" w:hAnsi="Times New Roman"/>
              </w:rPr>
              <w:t>57.58″</w:t>
            </w:r>
          </w:p>
        </w:tc>
      </w:tr>
    </w:tbl>
    <w:p>
      <w:pPr>
        <w:spacing w:line="500" w:lineRule="exact"/>
        <w:rPr>
          <w:rFonts w:hint="eastAsia" w:ascii="Times New Roman" w:hAnsi="Times New Roman" w:cs="Times New Roman"/>
          <w:kern w:val="0"/>
          <w:sz w:val="24"/>
          <w:lang w:val="en-US" w:eastAsia="zh-CN"/>
        </w:rPr>
      </w:pPr>
    </w:p>
    <w:p>
      <w:pPr>
        <w:pStyle w:val="4"/>
        <w:bidi w:val="0"/>
        <w:rPr>
          <w:rFonts w:hint="eastAsia" w:ascii="仿宋" w:hAnsi="仿宋" w:eastAsia="仿宋" w:cs="仿宋"/>
          <w:sz w:val="32"/>
          <w:szCs w:val="32"/>
          <w:lang w:val="en-US" w:eastAsia="zh-CN"/>
        </w:rPr>
      </w:pPr>
      <w:bookmarkStart w:id="8" w:name="_Toc31545"/>
      <w:bookmarkStart w:id="9" w:name="_Toc18332"/>
      <w:r>
        <w:rPr>
          <w:rFonts w:hint="eastAsia" w:ascii="仿宋" w:hAnsi="仿宋" w:eastAsia="仿宋" w:cs="仿宋"/>
          <w:sz w:val="32"/>
          <w:szCs w:val="32"/>
          <w:lang w:val="en-US" w:eastAsia="zh-CN"/>
        </w:rPr>
        <w:t>2.2 生产工艺流程简介</w:t>
      </w:r>
      <w:bookmarkEnd w:id="8"/>
      <w:bookmarkEnd w:id="9"/>
    </w:p>
    <w:p>
      <w:pPr>
        <w:keepNext w:val="0"/>
        <w:keepLines w:val="0"/>
        <w:pageBreakBefore w:val="0"/>
        <w:widowControl w:val="0"/>
        <w:kinsoku/>
        <w:wordWrap/>
        <w:overflowPunct/>
        <w:topLinePunct w:val="0"/>
        <w:autoSpaceDE/>
        <w:autoSpaceDN/>
        <w:bidi w:val="0"/>
        <w:adjustRightInd w:val="0"/>
        <w:snapToGrid w:val="0"/>
        <w:spacing w:line="276" w:lineRule="auto"/>
        <w:ind w:firstLine="640" w:firstLineChars="200"/>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原料煤经磨煤及煤浆制备单元，煤浆经隔膜泵加压，通过四个对称布置在气化炉中上部同一水平面的工艺喷嘴，与氧气一起对喷进入气化炉。在压力~4.2Mpa、温度~1340℃下气化，再经合成气洗涤单元洗涤除尘后，粗煤气送出至变换。渣/水处理单元将多喷嘴对置式气化及煤气初步净化工序产生的黑水所含的固体和溶解的气体分离出来，并将黑水所含的热量加以回收。</w:t>
      </w:r>
    </w:p>
    <w:p>
      <w:pPr>
        <w:keepNext w:val="0"/>
        <w:keepLines w:val="0"/>
        <w:pageBreakBefore w:val="0"/>
        <w:widowControl w:val="0"/>
        <w:kinsoku/>
        <w:wordWrap/>
        <w:overflowPunct/>
        <w:topLinePunct w:val="0"/>
        <w:autoSpaceDE/>
        <w:autoSpaceDN/>
        <w:bidi w:val="0"/>
        <w:adjustRightInd w:val="0"/>
        <w:snapToGrid w:val="0"/>
        <w:spacing w:line="276" w:lineRule="auto"/>
        <w:ind w:firstLine="640" w:firstLineChars="200"/>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xml:space="preserve">变换采用Co-Mo宽温耐硫变换；低温甲醇洗脱硫脱碳；气体精制采用液氮洗；超级克劳斯硫回收工艺。 </w:t>
      </w:r>
    </w:p>
    <w:p>
      <w:pPr>
        <w:keepNext w:val="0"/>
        <w:keepLines w:val="0"/>
        <w:pageBreakBefore w:val="0"/>
        <w:widowControl w:val="0"/>
        <w:kinsoku/>
        <w:wordWrap/>
        <w:overflowPunct/>
        <w:topLinePunct w:val="0"/>
        <w:autoSpaceDE/>
        <w:autoSpaceDN/>
        <w:bidi w:val="0"/>
        <w:adjustRightInd w:val="0"/>
        <w:snapToGrid w:val="0"/>
        <w:spacing w:line="276" w:lineRule="auto"/>
        <w:ind w:firstLine="640" w:firstLineChars="200"/>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配套的空分装置采用分子筛净化空气，空气增压，液氧内压缩，带增压透平膨胀机及液体膨胀机制冷，膨胀空气进下塔，采用规整填料塔及全精馏无氢制氩的工艺流程。为煤气化装置提供高纯氧气，并为氨合成回路提供高纯氮气，并提供全厂正常生产时所需的仪表空气和工厂工艺空气。</w:t>
      </w:r>
    </w:p>
    <w:p>
      <w:pPr>
        <w:keepNext w:val="0"/>
        <w:keepLines w:val="0"/>
        <w:pageBreakBefore w:val="0"/>
        <w:widowControl w:val="0"/>
        <w:kinsoku/>
        <w:wordWrap/>
        <w:overflowPunct/>
        <w:topLinePunct w:val="0"/>
        <w:autoSpaceDE/>
        <w:autoSpaceDN/>
        <w:bidi w:val="0"/>
        <w:adjustRightInd w:val="0"/>
        <w:snapToGrid w:val="0"/>
        <w:spacing w:line="276" w:lineRule="auto"/>
        <w:ind w:firstLine="640" w:firstLineChars="200"/>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本项目脱硫脱碳、空分所需冷量由中盈公司氨合成的两套氨冰机提供。</w:t>
      </w:r>
    </w:p>
    <w:p>
      <w:pPr>
        <w:keepNext w:val="0"/>
        <w:keepLines w:val="0"/>
        <w:pageBreakBefore w:val="0"/>
        <w:widowControl w:val="0"/>
        <w:kinsoku/>
        <w:wordWrap/>
        <w:overflowPunct/>
        <w:topLinePunct w:val="0"/>
        <w:autoSpaceDE/>
        <w:autoSpaceDN/>
        <w:bidi w:val="0"/>
        <w:adjustRightInd w:val="0"/>
        <w:snapToGrid w:val="0"/>
        <w:spacing w:line="276" w:lineRule="auto"/>
        <w:ind w:firstLine="640" w:firstLineChars="200"/>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该项目生产过程中发生的主要化学反应如下：</w:t>
      </w:r>
    </w:p>
    <w:p>
      <w:pPr>
        <w:keepNext w:val="0"/>
        <w:keepLines w:val="0"/>
        <w:pageBreakBefore w:val="0"/>
        <w:widowControl w:val="0"/>
        <w:kinsoku/>
        <w:wordWrap/>
        <w:overflowPunct/>
        <w:topLinePunct w:val="0"/>
        <w:autoSpaceDE/>
        <w:autoSpaceDN/>
        <w:bidi w:val="0"/>
        <w:adjustRightInd w:val="0"/>
        <w:snapToGrid w:val="0"/>
        <w:spacing w:line="276" w:lineRule="auto"/>
        <w:ind w:firstLine="640" w:firstLineChars="200"/>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2C + O2 = 2CO                   C + O2 = CO2</w:t>
      </w:r>
    </w:p>
    <w:p>
      <w:pPr>
        <w:keepNext w:val="0"/>
        <w:keepLines w:val="0"/>
        <w:pageBreakBefore w:val="0"/>
        <w:widowControl w:val="0"/>
        <w:kinsoku/>
        <w:wordWrap/>
        <w:overflowPunct/>
        <w:topLinePunct w:val="0"/>
        <w:autoSpaceDE/>
        <w:autoSpaceDN/>
        <w:bidi w:val="0"/>
        <w:adjustRightInd w:val="0"/>
        <w:snapToGrid w:val="0"/>
        <w:spacing w:line="276" w:lineRule="auto"/>
        <w:ind w:firstLine="640" w:firstLineChars="200"/>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C + H2O = CO + H2              C + 2H2O = CO2 + 2H2</w:t>
      </w:r>
    </w:p>
    <w:p>
      <w:pPr>
        <w:keepNext w:val="0"/>
        <w:keepLines w:val="0"/>
        <w:pageBreakBefore w:val="0"/>
        <w:widowControl w:val="0"/>
        <w:kinsoku/>
        <w:wordWrap/>
        <w:overflowPunct/>
        <w:topLinePunct w:val="0"/>
        <w:autoSpaceDE/>
        <w:autoSpaceDN/>
        <w:bidi w:val="0"/>
        <w:adjustRightInd w:val="0"/>
        <w:snapToGrid w:val="0"/>
        <w:spacing w:line="276" w:lineRule="auto"/>
        <w:ind w:firstLine="640" w:firstLineChars="200"/>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CO + H2O = CO2 + H2</w:t>
      </w:r>
    </w:p>
    <w:p>
      <w:pPr>
        <w:keepNext w:val="0"/>
        <w:keepLines w:val="0"/>
        <w:pageBreakBefore w:val="0"/>
        <w:widowControl w:val="0"/>
        <w:kinsoku/>
        <w:wordWrap/>
        <w:overflowPunct/>
        <w:topLinePunct w:val="0"/>
        <w:autoSpaceDE/>
        <w:autoSpaceDN/>
        <w:bidi w:val="0"/>
        <w:adjustRightInd w:val="0"/>
        <w:snapToGrid w:val="0"/>
        <w:spacing w:line="276" w:lineRule="auto"/>
        <w:ind w:firstLine="640" w:firstLineChars="200"/>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生产工艺流程见下图</w:t>
      </w:r>
    </w:p>
    <w:p>
      <w:pPr>
        <w:keepNext w:val="0"/>
        <w:keepLines w:val="0"/>
        <w:pageBreakBefore w:val="0"/>
        <w:widowControl w:val="0"/>
        <w:kinsoku/>
        <w:wordWrap/>
        <w:overflowPunct/>
        <w:topLinePunct w:val="0"/>
        <w:autoSpaceDE/>
        <w:autoSpaceDN/>
        <w:bidi w:val="0"/>
        <w:adjustRightInd w:val="0"/>
        <w:snapToGrid w:val="0"/>
        <w:spacing w:line="276" w:lineRule="auto"/>
        <w:ind w:firstLine="640" w:firstLineChars="200"/>
        <w:jc w:val="center"/>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图1 生产工艺流程图</w:t>
      </w:r>
    </w:p>
    <w:p>
      <w:pPr>
        <w:keepNext w:val="0"/>
        <w:keepLines w:val="0"/>
        <w:pageBreakBefore w:val="0"/>
        <w:widowControl w:val="0"/>
        <w:kinsoku/>
        <w:wordWrap/>
        <w:overflowPunct/>
        <w:topLinePunct w:val="0"/>
        <w:autoSpaceDE/>
        <w:autoSpaceDN/>
        <w:bidi w:val="0"/>
        <w:adjustRightInd w:val="0"/>
        <w:snapToGrid w:val="0"/>
        <w:spacing w:line="276" w:lineRule="auto"/>
        <w:ind w:firstLine="420" w:firstLineChars="200"/>
        <w:textAlignment w:val="auto"/>
        <w:rPr>
          <w:rFonts w:hint="default" w:ascii="Times New Roman" w:hAnsi="Times New Roman" w:eastAsia="宋体" w:cs="Times New Roman"/>
          <w:b/>
          <w:bCs w:val="0"/>
          <w:sz w:val="28"/>
          <w:szCs w:val="28"/>
        </w:rPr>
      </w:pPr>
      <w:r>
        <w:pict>
          <v:shape id="_x0000_s1026" o:spid="_x0000_s1026" o:spt="75" type="#_x0000_t75" style="position:absolute;left:0pt;margin-left:12.3pt;margin-top:13.75pt;height:190.25pt;width:444pt;mso-wrap-distance-bottom:0pt;mso-wrap-distance-left:9pt;mso-wrap-distance-right:9pt;mso-wrap-distance-top:0pt;z-index:251667456;mso-width-relative:page;mso-height-relative:page;" o:ole="t" filled="f" o:preferrelative="t" stroked="f" coordsize="21600,21600">
            <v:path/>
            <v:fill on="f" focussize="0,0"/>
            <v:stroke on="f"/>
            <v:imagedata r:id="rId10" o:title=""/>
            <o:lock v:ext="edit" aspectratio="t"/>
            <w10:wrap type="square"/>
          </v:shape>
          <o:OLEObject Type="Embed" ProgID="SmartDraw.2" ShapeID="_x0000_s1026" DrawAspect="Content" ObjectID="_1468075725" r:id="rId9">
            <o:LockedField>false</o:LockedField>
          </o:OLEObject>
        </w:pict>
      </w:r>
    </w:p>
    <w:p>
      <w:pPr>
        <w:pStyle w:val="4"/>
        <w:bidi w:val="0"/>
        <w:rPr>
          <w:rFonts w:hint="eastAsia" w:ascii="仿宋" w:hAnsi="仿宋" w:eastAsia="仿宋" w:cs="仿宋"/>
          <w:sz w:val="32"/>
          <w:szCs w:val="32"/>
          <w:lang w:val="en-US" w:eastAsia="zh-CN"/>
        </w:rPr>
      </w:pPr>
      <w:bookmarkStart w:id="10" w:name="_Toc8132"/>
      <w:bookmarkStart w:id="11" w:name="_Toc10466"/>
      <w:r>
        <w:rPr>
          <w:rFonts w:hint="eastAsia" w:ascii="仿宋" w:hAnsi="仿宋" w:eastAsia="仿宋" w:cs="仿宋"/>
          <w:sz w:val="32"/>
          <w:szCs w:val="32"/>
          <w:lang w:val="en-US" w:eastAsia="zh-CN"/>
        </w:rPr>
        <w:t>3 “三废”的产生情况及治理措施</w:t>
      </w:r>
      <w:bookmarkEnd w:id="10"/>
      <w:bookmarkEnd w:id="11"/>
    </w:p>
    <w:p>
      <w:pPr>
        <w:pStyle w:val="12"/>
        <w:spacing w:line="520" w:lineRule="exact"/>
        <w:ind w:firstLine="480" w:firstLineChars="150"/>
        <w:rPr>
          <w:rFonts w:hint="eastAsia" w:ascii="仿宋" w:hAnsi="仿宋" w:eastAsia="仿宋" w:cs="仿宋"/>
          <w:sz w:val="32"/>
          <w:szCs w:val="32"/>
        </w:rPr>
      </w:pPr>
      <w:r>
        <w:rPr>
          <w:rFonts w:hint="eastAsia" w:ascii="仿宋" w:hAnsi="仿宋" w:eastAsia="仿宋" w:cs="仿宋"/>
          <w:sz w:val="32"/>
          <w:szCs w:val="32"/>
          <w:lang w:val="en-US" w:eastAsia="zh-CN"/>
        </w:rPr>
        <w:t>3.1. 各装置产</w:t>
      </w:r>
      <w:r>
        <w:rPr>
          <w:rFonts w:hint="eastAsia" w:ascii="仿宋" w:hAnsi="仿宋" w:eastAsia="仿宋" w:cs="仿宋"/>
          <w:sz w:val="32"/>
          <w:szCs w:val="32"/>
        </w:rPr>
        <w:t>污环节</w:t>
      </w:r>
    </w:p>
    <w:p>
      <w:pPr>
        <w:numPr>
          <w:ilvl w:val="0"/>
          <w:numId w:val="0"/>
        </w:numPr>
        <w:spacing w:line="520" w:lineRule="exact"/>
        <w:ind w:firstLine="640" w:firstLineChars="2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(1)空分装置产污环节</w:t>
      </w:r>
    </w:p>
    <w:p>
      <w:pPr>
        <w:pStyle w:val="2"/>
        <w:rPr>
          <w:rFonts w:hint="eastAsia"/>
          <w:lang w:val="en-US" w:eastAsia="zh-CN"/>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936"/>
        <w:gridCol w:w="1549"/>
        <w:gridCol w:w="1355"/>
        <w:gridCol w:w="1936"/>
        <w:gridCol w:w="195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936"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污染源名称</w:t>
            </w:r>
          </w:p>
        </w:tc>
        <w:tc>
          <w:tcPr>
            <w:tcW w:w="1549"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产生量</w:t>
            </w:r>
          </w:p>
        </w:tc>
        <w:tc>
          <w:tcPr>
            <w:tcW w:w="135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主要成份</w:t>
            </w:r>
          </w:p>
        </w:tc>
        <w:tc>
          <w:tcPr>
            <w:tcW w:w="1936"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固废性质</w:t>
            </w:r>
          </w:p>
        </w:tc>
        <w:tc>
          <w:tcPr>
            <w:tcW w:w="1956"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处置措施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936"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废铝胶</w:t>
            </w:r>
          </w:p>
        </w:tc>
        <w:tc>
          <w:tcPr>
            <w:tcW w:w="1549"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20t/3a</w:t>
            </w:r>
          </w:p>
        </w:tc>
        <w:tc>
          <w:tcPr>
            <w:tcW w:w="135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Al</w:t>
            </w:r>
            <w:r>
              <w:rPr>
                <w:rFonts w:hint="eastAsia" w:ascii="仿宋" w:hAnsi="仿宋" w:eastAsia="仿宋" w:cs="仿宋"/>
                <w:sz w:val="21"/>
                <w:szCs w:val="21"/>
                <w:vertAlign w:val="subscript"/>
              </w:rPr>
              <w:t>2</w:t>
            </w:r>
            <w:r>
              <w:rPr>
                <w:rFonts w:hint="eastAsia" w:ascii="仿宋" w:hAnsi="仿宋" w:eastAsia="仿宋" w:cs="仿宋"/>
                <w:sz w:val="21"/>
                <w:szCs w:val="21"/>
              </w:rPr>
              <w:t>O</w:t>
            </w:r>
            <w:r>
              <w:rPr>
                <w:rFonts w:hint="eastAsia" w:ascii="仿宋" w:hAnsi="仿宋" w:eastAsia="仿宋" w:cs="仿宋"/>
                <w:sz w:val="21"/>
                <w:szCs w:val="21"/>
                <w:vertAlign w:val="subscript"/>
              </w:rPr>
              <w:t>3</w:t>
            </w:r>
          </w:p>
        </w:tc>
        <w:tc>
          <w:tcPr>
            <w:tcW w:w="1936" w:type="dxa"/>
            <w:noWrap w:val="0"/>
            <w:vAlign w:val="center"/>
          </w:tcPr>
          <w:p>
            <w:pPr>
              <w:spacing w:line="300" w:lineRule="exact"/>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危险废物</w:t>
            </w:r>
          </w:p>
        </w:tc>
        <w:tc>
          <w:tcPr>
            <w:tcW w:w="1956" w:type="dxa"/>
            <w:noWrap w:val="0"/>
            <w:vAlign w:val="center"/>
          </w:tcPr>
          <w:p>
            <w:pPr>
              <w:spacing w:line="300" w:lineRule="exact"/>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有资质危废单位处置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936"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废分子筛吸附剂</w:t>
            </w:r>
          </w:p>
        </w:tc>
        <w:tc>
          <w:tcPr>
            <w:tcW w:w="1549"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80t/3a</w:t>
            </w:r>
          </w:p>
        </w:tc>
        <w:tc>
          <w:tcPr>
            <w:tcW w:w="135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Al</w:t>
            </w:r>
            <w:r>
              <w:rPr>
                <w:rFonts w:hint="eastAsia" w:ascii="仿宋" w:hAnsi="仿宋" w:eastAsia="仿宋" w:cs="仿宋"/>
                <w:sz w:val="21"/>
                <w:szCs w:val="21"/>
                <w:vertAlign w:val="subscript"/>
              </w:rPr>
              <w:t>2</w:t>
            </w:r>
            <w:r>
              <w:rPr>
                <w:rFonts w:hint="eastAsia" w:ascii="仿宋" w:hAnsi="仿宋" w:eastAsia="仿宋" w:cs="仿宋"/>
                <w:sz w:val="21"/>
                <w:szCs w:val="21"/>
              </w:rPr>
              <w:t>O</w:t>
            </w:r>
            <w:r>
              <w:rPr>
                <w:rFonts w:hint="eastAsia" w:ascii="仿宋" w:hAnsi="仿宋" w:eastAsia="仿宋" w:cs="仿宋"/>
                <w:sz w:val="21"/>
                <w:szCs w:val="21"/>
                <w:vertAlign w:val="subscript"/>
              </w:rPr>
              <w:t>3</w:t>
            </w:r>
            <w:r>
              <w:rPr>
                <w:rFonts w:hint="eastAsia" w:ascii="仿宋" w:hAnsi="仿宋" w:eastAsia="仿宋" w:cs="仿宋"/>
                <w:sz w:val="21"/>
                <w:szCs w:val="21"/>
              </w:rPr>
              <w:t>、SiO</w:t>
            </w:r>
            <w:r>
              <w:rPr>
                <w:rFonts w:hint="eastAsia" w:ascii="仿宋" w:hAnsi="仿宋" w:eastAsia="仿宋" w:cs="仿宋"/>
                <w:sz w:val="21"/>
                <w:szCs w:val="21"/>
                <w:vertAlign w:val="subscript"/>
              </w:rPr>
              <w:t>2</w:t>
            </w:r>
          </w:p>
        </w:tc>
        <w:tc>
          <w:tcPr>
            <w:tcW w:w="1936" w:type="dxa"/>
            <w:noWrap w:val="0"/>
            <w:vAlign w:val="center"/>
          </w:tcPr>
          <w:p>
            <w:pPr>
              <w:spacing w:line="300" w:lineRule="exact"/>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危险废物</w:t>
            </w:r>
          </w:p>
        </w:tc>
        <w:tc>
          <w:tcPr>
            <w:tcW w:w="1956" w:type="dxa"/>
            <w:noWrap w:val="0"/>
            <w:vAlign w:val="center"/>
          </w:tcPr>
          <w:p>
            <w:pPr>
              <w:spacing w:line="300" w:lineRule="exact"/>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有资质危废单位处置</w:t>
            </w:r>
          </w:p>
        </w:tc>
      </w:tr>
    </w:tbl>
    <w:p>
      <w:pPr>
        <w:spacing w:line="300" w:lineRule="exact"/>
        <w:jc w:val="center"/>
        <w:rPr>
          <w:rFonts w:hint="default" w:ascii="Times New Roman" w:hAnsi="Times New Roman" w:cs="Times New Roman" w:eastAsiaTheme="minorEastAsia"/>
          <w:sz w:val="24"/>
          <w:szCs w:val="24"/>
          <w:lang w:val="en-US" w:eastAsia="zh-CN"/>
        </w:rPr>
      </w:pPr>
    </w:p>
    <w:p>
      <w:pPr>
        <w:pStyle w:val="60"/>
        <w:spacing w:line="520" w:lineRule="exact"/>
        <w:ind w:firstLine="614" w:firstLineChars="192"/>
        <w:rPr>
          <w:rFonts w:hint="eastAsia" w:ascii="仿宋" w:hAnsi="仿宋" w:eastAsia="仿宋" w:cs="仿宋"/>
          <w:b w:val="0"/>
          <w:spacing w:val="0"/>
          <w:kern w:val="2"/>
          <w:sz w:val="32"/>
          <w:szCs w:val="32"/>
          <w:lang w:val="en-US" w:eastAsia="zh-CN" w:bidi="ar-SA"/>
        </w:rPr>
      </w:pPr>
      <w:r>
        <w:rPr>
          <w:rFonts w:hint="eastAsia" w:ascii="仿宋" w:hAnsi="仿宋" w:eastAsia="仿宋" w:cs="仿宋"/>
          <w:b w:val="0"/>
          <w:spacing w:val="0"/>
          <w:kern w:val="2"/>
          <w:sz w:val="32"/>
          <w:szCs w:val="32"/>
          <w:lang w:val="en-US" w:eastAsia="zh-CN" w:bidi="ar-SA"/>
        </w:rPr>
        <w:t xml:space="preserve">  (2)备煤及水煤浆气化装置产污环节</w:t>
      </w:r>
    </w:p>
    <w:tbl>
      <w:tblPr>
        <w:tblStyle w:val="21"/>
        <w:tblW w:w="887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26"/>
        <w:gridCol w:w="709"/>
        <w:gridCol w:w="2220"/>
        <w:gridCol w:w="2835"/>
        <w:gridCol w:w="208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26"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污染物</w:t>
            </w:r>
          </w:p>
        </w:tc>
        <w:tc>
          <w:tcPr>
            <w:tcW w:w="2929" w:type="dxa"/>
            <w:gridSpan w:val="2"/>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污染源名称</w:t>
            </w:r>
          </w:p>
        </w:tc>
        <w:tc>
          <w:tcPr>
            <w:tcW w:w="283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主要污染物</w:t>
            </w:r>
          </w:p>
        </w:tc>
        <w:tc>
          <w:tcPr>
            <w:tcW w:w="208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处理方式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1026" w:type="dxa"/>
            <w:vMerge w:val="restart"/>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废气</w:t>
            </w:r>
          </w:p>
        </w:tc>
        <w:tc>
          <w:tcPr>
            <w:tcW w:w="709" w:type="dxa"/>
            <w:vMerge w:val="restart"/>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正常</w:t>
            </w:r>
          </w:p>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排放</w:t>
            </w:r>
          </w:p>
        </w:tc>
        <w:tc>
          <w:tcPr>
            <w:tcW w:w="222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气化破碎楼尾气</w:t>
            </w:r>
          </w:p>
        </w:tc>
        <w:tc>
          <w:tcPr>
            <w:tcW w:w="2835" w:type="dxa"/>
            <w:tcBorders>
              <w:bottom w:val="single" w:color="auto" w:sz="4" w:space="0"/>
            </w:tcBorders>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粉尘</w:t>
            </w:r>
          </w:p>
        </w:tc>
        <w:tc>
          <w:tcPr>
            <w:tcW w:w="2080" w:type="dxa"/>
            <w:tcBorders>
              <w:bottom w:val="single" w:color="auto" w:sz="4" w:space="0"/>
            </w:tcBorders>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袋式除尘器除尘后由50m高排气筒排放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1026" w:type="dxa"/>
            <w:vMerge w:val="continue"/>
            <w:noWrap w:val="0"/>
            <w:vAlign w:val="center"/>
          </w:tcPr>
          <w:p>
            <w:pPr>
              <w:spacing w:line="300" w:lineRule="exact"/>
              <w:jc w:val="center"/>
              <w:rPr>
                <w:rFonts w:hint="eastAsia" w:ascii="仿宋" w:hAnsi="仿宋" w:eastAsia="仿宋" w:cs="仿宋"/>
                <w:sz w:val="21"/>
                <w:szCs w:val="21"/>
              </w:rPr>
            </w:pPr>
          </w:p>
        </w:tc>
        <w:tc>
          <w:tcPr>
            <w:tcW w:w="709" w:type="dxa"/>
            <w:vMerge w:val="continue"/>
            <w:noWrap w:val="0"/>
            <w:vAlign w:val="center"/>
          </w:tcPr>
          <w:p>
            <w:pPr>
              <w:spacing w:line="300" w:lineRule="exact"/>
              <w:jc w:val="center"/>
              <w:rPr>
                <w:rFonts w:hint="eastAsia" w:ascii="仿宋" w:hAnsi="仿宋" w:eastAsia="仿宋" w:cs="仿宋"/>
                <w:sz w:val="21"/>
                <w:szCs w:val="21"/>
              </w:rPr>
            </w:pPr>
          </w:p>
        </w:tc>
        <w:tc>
          <w:tcPr>
            <w:tcW w:w="222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煤贮运工段筒仓尾气</w:t>
            </w:r>
          </w:p>
        </w:tc>
        <w:tc>
          <w:tcPr>
            <w:tcW w:w="2835" w:type="dxa"/>
            <w:tcBorders>
              <w:bottom w:val="single" w:color="auto" w:sz="4" w:space="0"/>
            </w:tcBorders>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粉尘</w:t>
            </w:r>
          </w:p>
        </w:tc>
        <w:tc>
          <w:tcPr>
            <w:tcW w:w="2080" w:type="dxa"/>
            <w:tcBorders>
              <w:bottom w:val="single" w:color="auto" w:sz="4" w:space="0"/>
            </w:tcBorders>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袋式除尘器除尘后由40m高排气筒排放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86" w:hRule="atLeast"/>
          <w:jc w:val="center"/>
        </w:trPr>
        <w:tc>
          <w:tcPr>
            <w:tcW w:w="1026" w:type="dxa"/>
            <w:vMerge w:val="continue"/>
            <w:noWrap w:val="0"/>
            <w:vAlign w:val="center"/>
          </w:tcPr>
          <w:p>
            <w:pPr>
              <w:spacing w:line="300" w:lineRule="exact"/>
              <w:jc w:val="center"/>
              <w:rPr>
                <w:rFonts w:hint="eastAsia" w:ascii="仿宋" w:hAnsi="仿宋" w:eastAsia="仿宋" w:cs="仿宋"/>
                <w:sz w:val="21"/>
                <w:szCs w:val="21"/>
              </w:rPr>
            </w:pPr>
          </w:p>
        </w:tc>
        <w:tc>
          <w:tcPr>
            <w:tcW w:w="709" w:type="dxa"/>
            <w:vMerge w:val="continue"/>
            <w:noWrap w:val="0"/>
            <w:vAlign w:val="center"/>
          </w:tcPr>
          <w:p>
            <w:pPr>
              <w:spacing w:line="300" w:lineRule="exact"/>
              <w:jc w:val="center"/>
              <w:rPr>
                <w:rFonts w:hint="eastAsia" w:ascii="仿宋" w:hAnsi="仿宋" w:eastAsia="仿宋" w:cs="仿宋"/>
                <w:sz w:val="21"/>
                <w:szCs w:val="21"/>
              </w:rPr>
            </w:pPr>
          </w:p>
        </w:tc>
        <w:tc>
          <w:tcPr>
            <w:tcW w:w="222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煤浆制备工段煤粉尘</w:t>
            </w:r>
          </w:p>
        </w:tc>
        <w:tc>
          <w:tcPr>
            <w:tcW w:w="283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粉尘</w:t>
            </w:r>
          </w:p>
        </w:tc>
        <w:tc>
          <w:tcPr>
            <w:tcW w:w="2080" w:type="dxa"/>
            <w:tcBorders>
              <w:top w:val="single" w:color="auto" w:sz="4" w:space="0"/>
            </w:tcBorders>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袋式除尘器除尘后由50m高排气筒排放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1026" w:type="dxa"/>
            <w:vMerge w:val="continue"/>
            <w:noWrap w:val="0"/>
            <w:vAlign w:val="center"/>
          </w:tcPr>
          <w:p>
            <w:pPr>
              <w:spacing w:line="300" w:lineRule="exact"/>
              <w:jc w:val="center"/>
              <w:rPr>
                <w:rFonts w:hint="eastAsia" w:ascii="仿宋" w:hAnsi="仿宋" w:eastAsia="仿宋" w:cs="仿宋"/>
                <w:sz w:val="21"/>
                <w:szCs w:val="21"/>
              </w:rPr>
            </w:pPr>
          </w:p>
        </w:tc>
        <w:tc>
          <w:tcPr>
            <w:tcW w:w="709" w:type="dxa"/>
            <w:vMerge w:val="continue"/>
            <w:noWrap w:val="0"/>
            <w:vAlign w:val="center"/>
          </w:tcPr>
          <w:p>
            <w:pPr>
              <w:spacing w:line="300" w:lineRule="exact"/>
              <w:jc w:val="center"/>
              <w:rPr>
                <w:rFonts w:hint="eastAsia" w:ascii="仿宋" w:hAnsi="仿宋" w:eastAsia="仿宋" w:cs="仿宋"/>
                <w:sz w:val="21"/>
                <w:szCs w:val="21"/>
              </w:rPr>
            </w:pPr>
          </w:p>
        </w:tc>
        <w:tc>
          <w:tcPr>
            <w:tcW w:w="222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煤浆制备工段石灰石粉尘</w:t>
            </w:r>
          </w:p>
        </w:tc>
        <w:tc>
          <w:tcPr>
            <w:tcW w:w="283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粉尘</w:t>
            </w:r>
          </w:p>
        </w:tc>
        <w:tc>
          <w:tcPr>
            <w:tcW w:w="2080" w:type="dxa"/>
            <w:tcBorders>
              <w:top w:val="single" w:color="auto" w:sz="4" w:space="0"/>
            </w:tcBorders>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袋式除尘器除尘后由40m高排气筒排放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1026" w:type="dxa"/>
            <w:vMerge w:val="continue"/>
            <w:noWrap w:val="0"/>
            <w:vAlign w:val="center"/>
          </w:tcPr>
          <w:p>
            <w:pPr>
              <w:spacing w:line="300" w:lineRule="exact"/>
              <w:jc w:val="center"/>
              <w:rPr>
                <w:rFonts w:hint="eastAsia" w:ascii="仿宋" w:hAnsi="仿宋" w:eastAsia="仿宋" w:cs="仿宋"/>
                <w:sz w:val="21"/>
                <w:szCs w:val="21"/>
              </w:rPr>
            </w:pPr>
          </w:p>
        </w:tc>
        <w:tc>
          <w:tcPr>
            <w:tcW w:w="709" w:type="dxa"/>
            <w:vMerge w:val="continue"/>
            <w:noWrap w:val="0"/>
            <w:vAlign w:val="center"/>
          </w:tcPr>
          <w:p>
            <w:pPr>
              <w:spacing w:line="300" w:lineRule="exact"/>
              <w:jc w:val="center"/>
              <w:rPr>
                <w:rFonts w:hint="eastAsia" w:ascii="仿宋" w:hAnsi="仿宋" w:eastAsia="仿宋" w:cs="仿宋"/>
                <w:sz w:val="21"/>
                <w:szCs w:val="21"/>
              </w:rPr>
            </w:pPr>
          </w:p>
        </w:tc>
        <w:tc>
          <w:tcPr>
            <w:tcW w:w="222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低压闪蒸气</w:t>
            </w:r>
          </w:p>
        </w:tc>
        <w:tc>
          <w:tcPr>
            <w:tcW w:w="283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CO、H2S、NH3</w:t>
            </w:r>
          </w:p>
        </w:tc>
        <w:tc>
          <w:tcPr>
            <w:tcW w:w="208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送火炬燃烧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1026" w:type="dxa"/>
            <w:vMerge w:val="continue"/>
            <w:noWrap w:val="0"/>
            <w:vAlign w:val="center"/>
          </w:tcPr>
          <w:p>
            <w:pPr>
              <w:spacing w:line="300" w:lineRule="exact"/>
              <w:jc w:val="center"/>
              <w:rPr>
                <w:rFonts w:hint="eastAsia" w:ascii="仿宋" w:hAnsi="仿宋" w:eastAsia="仿宋" w:cs="仿宋"/>
                <w:sz w:val="21"/>
                <w:szCs w:val="21"/>
              </w:rPr>
            </w:pPr>
          </w:p>
        </w:tc>
        <w:tc>
          <w:tcPr>
            <w:tcW w:w="709" w:type="dxa"/>
            <w:vMerge w:val="continue"/>
            <w:noWrap w:val="0"/>
            <w:vAlign w:val="center"/>
          </w:tcPr>
          <w:p>
            <w:pPr>
              <w:spacing w:line="300" w:lineRule="exact"/>
              <w:jc w:val="center"/>
              <w:rPr>
                <w:rFonts w:hint="eastAsia" w:ascii="仿宋" w:hAnsi="仿宋" w:eastAsia="仿宋" w:cs="仿宋"/>
                <w:sz w:val="21"/>
                <w:szCs w:val="21"/>
              </w:rPr>
            </w:pPr>
          </w:p>
        </w:tc>
        <w:tc>
          <w:tcPr>
            <w:tcW w:w="222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真空泵分离器出口尾气</w:t>
            </w:r>
          </w:p>
        </w:tc>
        <w:tc>
          <w:tcPr>
            <w:tcW w:w="283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CO、H2S</w:t>
            </w:r>
          </w:p>
        </w:tc>
        <w:tc>
          <w:tcPr>
            <w:tcW w:w="208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25m高空排放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1026" w:type="dxa"/>
            <w:vMerge w:val="continue"/>
            <w:noWrap w:val="0"/>
            <w:vAlign w:val="center"/>
          </w:tcPr>
          <w:p>
            <w:pPr>
              <w:spacing w:line="300" w:lineRule="exact"/>
              <w:jc w:val="center"/>
              <w:rPr>
                <w:rFonts w:hint="eastAsia" w:ascii="仿宋" w:hAnsi="仿宋" w:eastAsia="仿宋" w:cs="仿宋"/>
                <w:sz w:val="21"/>
                <w:szCs w:val="21"/>
              </w:rPr>
            </w:pPr>
          </w:p>
        </w:tc>
        <w:tc>
          <w:tcPr>
            <w:tcW w:w="709" w:type="dxa"/>
            <w:vMerge w:val="restart"/>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非正常</w:t>
            </w:r>
          </w:p>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排放</w:t>
            </w:r>
          </w:p>
        </w:tc>
        <w:tc>
          <w:tcPr>
            <w:tcW w:w="222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气化炉开工放空气</w:t>
            </w:r>
          </w:p>
        </w:tc>
        <w:tc>
          <w:tcPr>
            <w:tcW w:w="283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CO、H2、CO2、H2O、H2S</w:t>
            </w:r>
          </w:p>
        </w:tc>
        <w:tc>
          <w:tcPr>
            <w:tcW w:w="2080" w:type="dxa"/>
            <w:vMerge w:val="restart"/>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送火炬燃烧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1026" w:type="dxa"/>
            <w:vMerge w:val="continue"/>
            <w:noWrap w:val="0"/>
            <w:vAlign w:val="center"/>
          </w:tcPr>
          <w:p>
            <w:pPr>
              <w:spacing w:line="300" w:lineRule="exact"/>
              <w:jc w:val="center"/>
              <w:rPr>
                <w:rFonts w:hint="eastAsia" w:ascii="仿宋" w:hAnsi="仿宋" w:eastAsia="仿宋" w:cs="仿宋"/>
                <w:sz w:val="21"/>
                <w:szCs w:val="21"/>
              </w:rPr>
            </w:pPr>
          </w:p>
        </w:tc>
        <w:tc>
          <w:tcPr>
            <w:tcW w:w="709" w:type="dxa"/>
            <w:vMerge w:val="continue"/>
            <w:noWrap w:val="0"/>
            <w:vAlign w:val="center"/>
          </w:tcPr>
          <w:p>
            <w:pPr>
              <w:spacing w:line="300" w:lineRule="exact"/>
              <w:jc w:val="center"/>
              <w:rPr>
                <w:rFonts w:hint="eastAsia" w:ascii="仿宋" w:hAnsi="仿宋" w:eastAsia="仿宋" w:cs="仿宋"/>
                <w:sz w:val="21"/>
                <w:szCs w:val="21"/>
              </w:rPr>
            </w:pPr>
          </w:p>
        </w:tc>
        <w:tc>
          <w:tcPr>
            <w:tcW w:w="222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气化装置事故排放气</w:t>
            </w:r>
          </w:p>
        </w:tc>
        <w:tc>
          <w:tcPr>
            <w:tcW w:w="283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CO、H2、CO2、H2O、H2S</w:t>
            </w:r>
          </w:p>
        </w:tc>
        <w:tc>
          <w:tcPr>
            <w:tcW w:w="2080" w:type="dxa"/>
            <w:vMerge w:val="continue"/>
            <w:noWrap w:val="0"/>
            <w:vAlign w:val="center"/>
          </w:tcPr>
          <w:p>
            <w:pPr>
              <w:spacing w:line="300" w:lineRule="exact"/>
              <w:jc w:val="center"/>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1026"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废水</w:t>
            </w:r>
          </w:p>
        </w:tc>
        <w:tc>
          <w:tcPr>
            <w:tcW w:w="2929" w:type="dxa"/>
            <w:gridSpan w:val="2"/>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气化废水</w:t>
            </w:r>
          </w:p>
        </w:tc>
        <w:tc>
          <w:tcPr>
            <w:tcW w:w="283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SS、氨氮、氰化物、硫化物、COD</w:t>
            </w:r>
          </w:p>
        </w:tc>
        <w:tc>
          <w:tcPr>
            <w:tcW w:w="208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送终端废水处理装置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1026" w:type="dxa"/>
            <w:vMerge w:val="restart"/>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固废</w:t>
            </w:r>
          </w:p>
        </w:tc>
        <w:tc>
          <w:tcPr>
            <w:tcW w:w="2929" w:type="dxa"/>
            <w:gridSpan w:val="2"/>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气化粗渣</w:t>
            </w:r>
          </w:p>
        </w:tc>
        <w:tc>
          <w:tcPr>
            <w:tcW w:w="283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SiO2、Al2O3、Fe2O3</w:t>
            </w:r>
          </w:p>
        </w:tc>
        <w:tc>
          <w:tcPr>
            <w:tcW w:w="208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外售作建材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1026" w:type="dxa"/>
            <w:vMerge w:val="continue"/>
            <w:noWrap w:val="0"/>
            <w:vAlign w:val="center"/>
          </w:tcPr>
          <w:p>
            <w:pPr>
              <w:spacing w:line="300" w:lineRule="exact"/>
              <w:jc w:val="center"/>
              <w:rPr>
                <w:rFonts w:hint="eastAsia" w:ascii="仿宋" w:hAnsi="仿宋" w:eastAsia="仿宋" w:cs="仿宋"/>
                <w:sz w:val="21"/>
                <w:szCs w:val="21"/>
              </w:rPr>
            </w:pPr>
          </w:p>
        </w:tc>
        <w:tc>
          <w:tcPr>
            <w:tcW w:w="2929" w:type="dxa"/>
            <w:gridSpan w:val="2"/>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气化细渣</w:t>
            </w:r>
          </w:p>
        </w:tc>
        <w:tc>
          <w:tcPr>
            <w:tcW w:w="283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SiO2、Al2O3、Fe2O3</w:t>
            </w:r>
          </w:p>
        </w:tc>
        <w:tc>
          <w:tcPr>
            <w:tcW w:w="208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外售作建材</w:t>
            </w:r>
          </w:p>
        </w:tc>
      </w:tr>
    </w:tbl>
    <w:p>
      <w:pPr>
        <w:pStyle w:val="8"/>
        <w:rPr>
          <w:rFonts w:hint="default" w:ascii="Times New Roman" w:hAnsi="Times New Roman" w:cs="Times New Roman" w:eastAsiaTheme="minorEastAsia"/>
          <w:sz w:val="24"/>
          <w:szCs w:val="24"/>
          <w:lang w:val="en-US" w:eastAsia="zh-CN"/>
        </w:rPr>
      </w:pPr>
    </w:p>
    <w:p>
      <w:pPr>
        <w:pStyle w:val="60"/>
        <w:spacing w:line="540" w:lineRule="exact"/>
        <w:ind w:firstLine="320" w:firstLineChars="100"/>
        <w:rPr>
          <w:rFonts w:hint="eastAsia" w:ascii="仿宋" w:hAnsi="仿宋" w:eastAsia="仿宋" w:cs="仿宋"/>
          <w:b w:val="0"/>
          <w:spacing w:val="0"/>
          <w:kern w:val="2"/>
          <w:sz w:val="32"/>
          <w:szCs w:val="32"/>
          <w:lang w:val="en-US" w:eastAsia="zh-CN" w:bidi="ar-SA"/>
        </w:rPr>
      </w:pPr>
      <w:r>
        <w:rPr>
          <w:rFonts w:hint="eastAsia" w:ascii="仿宋" w:hAnsi="仿宋" w:eastAsia="仿宋" w:cs="仿宋"/>
          <w:b w:val="0"/>
          <w:spacing w:val="0"/>
          <w:kern w:val="2"/>
          <w:sz w:val="32"/>
          <w:szCs w:val="32"/>
          <w:lang w:val="en-US" w:eastAsia="zh-CN" w:bidi="ar-SA"/>
        </w:rPr>
        <w:t>（3）变换装置产污环节</w:t>
      </w:r>
    </w:p>
    <w:tbl>
      <w:tblPr>
        <w:tblStyle w:val="21"/>
        <w:tblpPr w:leftFromText="180" w:rightFromText="180" w:vertAnchor="text" w:horzAnchor="page" w:tblpX="1564" w:tblpY="185"/>
        <w:tblOverlap w:val="never"/>
        <w:tblW w:w="8828"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28" w:type="dxa"/>
          <w:bottom w:w="0" w:type="dxa"/>
          <w:right w:w="28" w:type="dxa"/>
        </w:tblCellMar>
      </w:tblPr>
      <w:tblGrid>
        <w:gridCol w:w="939"/>
        <w:gridCol w:w="2100"/>
        <w:gridCol w:w="3045"/>
        <w:gridCol w:w="274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61" w:hRule="atLeast"/>
        </w:trPr>
        <w:tc>
          <w:tcPr>
            <w:tcW w:w="939" w:type="dxa"/>
            <w:noWrap w:val="0"/>
            <w:vAlign w:val="center"/>
          </w:tcPr>
          <w:p>
            <w:pPr>
              <w:pStyle w:val="60"/>
              <w:spacing w:line="300" w:lineRule="exact"/>
              <w:jc w:val="center"/>
              <w:rPr>
                <w:rFonts w:hint="eastAsia"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污染物</w:t>
            </w:r>
          </w:p>
        </w:tc>
        <w:tc>
          <w:tcPr>
            <w:tcW w:w="2100" w:type="dxa"/>
            <w:noWrap w:val="0"/>
            <w:vAlign w:val="center"/>
          </w:tcPr>
          <w:p>
            <w:pPr>
              <w:pStyle w:val="60"/>
              <w:spacing w:line="300" w:lineRule="exact"/>
              <w:jc w:val="center"/>
              <w:rPr>
                <w:rFonts w:hint="eastAsia"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污染源名称</w:t>
            </w:r>
          </w:p>
        </w:tc>
        <w:tc>
          <w:tcPr>
            <w:tcW w:w="3045" w:type="dxa"/>
            <w:noWrap w:val="0"/>
            <w:vAlign w:val="center"/>
          </w:tcPr>
          <w:p>
            <w:pPr>
              <w:pStyle w:val="60"/>
              <w:spacing w:line="300" w:lineRule="exact"/>
              <w:jc w:val="center"/>
              <w:rPr>
                <w:rFonts w:hint="eastAsia"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主要污染物</w:t>
            </w:r>
          </w:p>
        </w:tc>
        <w:tc>
          <w:tcPr>
            <w:tcW w:w="2744" w:type="dxa"/>
            <w:noWrap w:val="0"/>
            <w:vAlign w:val="center"/>
          </w:tcPr>
          <w:p>
            <w:pPr>
              <w:pStyle w:val="60"/>
              <w:spacing w:line="300" w:lineRule="exact"/>
              <w:jc w:val="center"/>
              <w:rPr>
                <w:rFonts w:hint="eastAsia"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处理方式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61" w:hRule="atLeast"/>
        </w:trPr>
        <w:tc>
          <w:tcPr>
            <w:tcW w:w="939" w:type="dxa"/>
            <w:noWrap w:val="0"/>
            <w:vAlign w:val="center"/>
          </w:tcPr>
          <w:p>
            <w:pPr>
              <w:pStyle w:val="60"/>
              <w:spacing w:line="300" w:lineRule="exact"/>
              <w:jc w:val="center"/>
              <w:rPr>
                <w:rFonts w:hint="eastAsia"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废气</w:t>
            </w:r>
          </w:p>
        </w:tc>
        <w:tc>
          <w:tcPr>
            <w:tcW w:w="2100" w:type="dxa"/>
            <w:noWrap w:val="0"/>
            <w:vAlign w:val="center"/>
          </w:tcPr>
          <w:p>
            <w:pPr>
              <w:pStyle w:val="60"/>
              <w:spacing w:line="300" w:lineRule="exact"/>
              <w:jc w:val="center"/>
              <w:rPr>
                <w:rFonts w:hint="eastAsia"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冷凝液汽提塔尾气</w:t>
            </w:r>
          </w:p>
        </w:tc>
        <w:tc>
          <w:tcPr>
            <w:tcW w:w="3045" w:type="dxa"/>
            <w:noWrap w:val="0"/>
            <w:vAlign w:val="center"/>
          </w:tcPr>
          <w:p>
            <w:pPr>
              <w:pStyle w:val="60"/>
              <w:spacing w:line="300" w:lineRule="exact"/>
              <w:jc w:val="center"/>
              <w:rPr>
                <w:rFonts w:hint="eastAsia" w:ascii="宋体" w:hAnsi="宋体" w:eastAsia="宋体"/>
                <w:b w:val="0"/>
                <w:snapToGrid w:val="0"/>
                <w:spacing w:val="0"/>
                <w:kern w:val="0"/>
                <w:sz w:val="21"/>
                <w:szCs w:val="21"/>
              </w:rPr>
            </w:pPr>
            <w:r>
              <w:rPr>
                <w:rFonts w:hint="eastAsia" w:ascii="宋体" w:hAnsi="宋体"/>
                <w:b w:val="0"/>
                <w:color w:val="000000"/>
                <w:spacing w:val="0"/>
                <w:sz w:val="21"/>
                <w:szCs w:val="21"/>
              </w:rPr>
              <w:t>CO、H</w:t>
            </w:r>
            <w:r>
              <w:rPr>
                <w:rFonts w:hint="eastAsia" w:ascii="宋体" w:hAnsi="宋体"/>
                <w:b w:val="0"/>
                <w:color w:val="000000"/>
                <w:spacing w:val="0"/>
                <w:sz w:val="21"/>
                <w:szCs w:val="21"/>
                <w:vertAlign w:val="subscript"/>
              </w:rPr>
              <w:t>2</w:t>
            </w:r>
            <w:r>
              <w:rPr>
                <w:rFonts w:hint="eastAsia" w:ascii="宋体" w:hAnsi="宋体"/>
                <w:b w:val="0"/>
                <w:color w:val="000000"/>
                <w:spacing w:val="0"/>
                <w:sz w:val="21"/>
                <w:szCs w:val="21"/>
              </w:rPr>
              <w:t>S</w:t>
            </w:r>
            <w:r>
              <w:rPr>
                <w:rFonts w:hint="eastAsia" w:ascii="宋体" w:hAnsi="宋体"/>
                <w:b w:val="0"/>
                <w:color w:val="000000"/>
                <w:sz w:val="21"/>
                <w:szCs w:val="21"/>
              </w:rPr>
              <w:t>、H</w:t>
            </w:r>
            <w:r>
              <w:rPr>
                <w:rFonts w:hint="eastAsia" w:ascii="宋体" w:hAnsi="宋体"/>
                <w:b w:val="0"/>
                <w:color w:val="000000"/>
                <w:sz w:val="21"/>
                <w:szCs w:val="21"/>
                <w:vertAlign w:val="subscript"/>
              </w:rPr>
              <w:t>2</w:t>
            </w:r>
          </w:p>
        </w:tc>
        <w:tc>
          <w:tcPr>
            <w:tcW w:w="2744" w:type="dxa"/>
            <w:noWrap w:val="0"/>
            <w:vAlign w:val="center"/>
          </w:tcPr>
          <w:p>
            <w:pPr>
              <w:pStyle w:val="60"/>
              <w:spacing w:line="300" w:lineRule="exact"/>
              <w:jc w:val="center"/>
              <w:rPr>
                <w:rFonts w:hint="eastAsia"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送火炬燃烧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61" w:hRule="atLeast"/>
        </w:trPr>
        <w:tc>
          <w:tcPr>
            <w:tcW w:w="939" w:type="dxa"/>
            <w:noWrap w:val="0"/>
            <w:vAlign w:val="center"/>
          </w:tcPr>
          <w:p>
            <w:pPr>
              <w:pStyle w:val="60"/>
              <w:spacing w:line="300" w:lineRule="exact"/>
              <w:jc w:val="center"/>
              <w:rPr>
                <w:rFonts w:hint="eastAsia"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废水</w:t>
            </w:r>
          </w:p>
        </w:tc>
        <w:tc>
          <w:tcPr>
            <w:tcW w:w="2100" w:type="dxa"/>
            <w:noWrap w:val="0"/>
            <w:vAlign w:val="center"/>
          </w:tcPr>
          <w:p>
            <w:pPr>
              <w:pStyle w:val="60"/>
              <w:spacing w:line="300" w:lineRule="exact"/>
              <w:jc w:val="center"/>
              <w:rPr>
                <w:rFonts w:hint="eastAsia"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变换工艺冷凝液</w:t>
            </w:r>
          </w:p>
        </w:tc>
        <w:tc>
          <w:tcPr>
            <w:tcW w:w="3045" w:type="dxa"/>
            <w:noWrap w:val="0"/>
            <w:vAlign w:val="center"/>
          </w:tcPr>
          <w:p>
            <w:pPr>
              <w:pStyle w:val="60"/>
              <w:spacing w:line="300" w:lineRule="exact"/>
              <w:jc w:val="center"/>
              <w:rPr>
                <w:rFonts w:hint="eastAsia"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SS、氨氮、氰化物、硫化物、COD</w:t>
            </w:r>
          </w:p>
        </w:tc>
        <w:tc>
          <w:tcPr>
            <w:tcW w:w="2744" w:type="dxa"/>
            <w:noWrap w:val="0"/>
            <w:vAlign w:val="center"/>
          </w:tcPr>
          <w:p>
            <w:pPr>
              <w:pStyle w:val="60"/>
              <w:spacing w:line="300" w:lineRule="exact"/>
              <w:jc w:val="center"/>
              <w:rPr>
                <w:rFonts w:hint="eastAsia"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送制气工序用于洗涤粗煤气</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61" w:hRule="atLeast"/>
        </w:trPr>
        <w:tc>
          <w:tcPr>
            <w:tcW w:w="939" w:type="dxa"/>
            <w:noWrap w:val="0"/>
            <w:vAlign w:val="center"/>
          </w:tcPr>
          <w:p>
            <w:pPr>
              <w:pStyle w:val="60"/>
              <w:spacing w:line="300" w:lineRule="exact"/>
              <w:jc w:val="center"/>
              <w:rPr>
                <w:rFonts w:hint="eastAsia"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固废</w:t>
            </w:r>
          </w:p>
        </w:tc>
        <w:tc>
          <w:tcPr>
            <w:tcW w:w="2100" w:type="dxa"/>
            <w:noWrap w:val="0"/>
            <w:vAlign w:val="center"/>
          </w:tcPr>
          <w:p>
            <w:pPr>
              <w:pStyle w:val="60"/>
              <w:spacing w:line="300" w:lineRule="exact"/>
              <w:jc w:val="center"/>
              <w:rPr>
                <w:rFonts w:hint="eastAsia"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变换废触媒</w:t>
            </w:r>
          </w:p>
        </w:tc>
        <w:tc>
          <w:tcPr>
            <w:tcW w:w="3045" w:type="dxa"/>
            <w:noWrap w:val="0"/>
            <w:vAlign w:val="center"/>
          </w:tcPr>
          <w:p>
            <w:pPr>
              <w:pStyle w:val="60"/>
              <w:spacing w:line="300" w:lineRule="exact"/>
              <w:jc w:val="center"/>
              <w:rPr>
                <w:rFonts w:hint="eastAsia"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Co、Mo</w:t>
            </w:r>
          </w:p>
        </w:tc>
        <w:tc>
          <w:tcPr>
            <w:tcW w:w="2744" w:type="dxa"/>
            <w:noWrap w:val="0"/>
            <w:vAlign w:val="center"/>
          </w:tcPr>
          <w:p>
            <w:pPr>
              <w:pStyle w:val="60"/>
              <w:spacing w:line="300" w:lineRule="exact"/>
              <w:jc w:val="center"/>
              <w:rPr>
                <w:rFonts w:hint="default" w:ascii="宋体" w:hAnsi="宋体" w:eastAsia="宋体"/>
                <w:b w:val="0"/>
                <w:snapToGrid w:val="0"/>
                <w:spacing w:val="0"/>
                <w:kern w:val="0"/>
                <w:sz w:val="21"/>
                <w:szCs w:val="21"/>
                <w:lang w:val="en-US" w:eastAsia="zh-CN"/>
              </w:rPr>
            </w:pPr>
            <w:r>
              <w:rPr>
                <w:rFonts w:hint="eastAsia" w:ascii="宋体" w:hAnsi="宋体" w:eastAsia="宋体"/>
                <w:b w:val="0"/>
                <w:snapToGrid w:val="0"/>
                <w:spacing w:val="0"/>
                <w:kern w:val="0"/>
                <w:sz w:val="21"/>
                <w:szCs w:val="21"/>
                <w:lang w:val="en-US" w:eastAsia="zh-CN"/>
              </w:rPr>
              <w:t>有资质危废单位处置</w:t>
            </w:r>
          </w:p>
        </w:tc>
      </w:tr>
    </w:tbl>
    <w:p>
      <w:pPr>
        <w:pStyle w:val="60"/>
        <w:spacing w:line="540" w:lineRule="exact"/>
        <w:rPr>
          <w:rFonts w:hint="eastAsia" w:ascii="仿宋" w:hAnsi="仿宋" w:eastAsia="仿宋" w:cs="仿宋"/>
          <w:b w:val="0"/>
          <w:spacing w:val="0"/>
          <w:kern w:val="2"/>
          <w:sz w:val="32"/>
          <w:szCs w:val="32"/>
          <w:lang w:val="en-US" w:eastAsia="zh-CN" w:bidi="ar-SA"/>
        </w:rPr>
      </w:pPr>
      <w:r>
        <w:rPr>
          <w:rFonts w:hint="eastAsia" w:ascii="仿宋" w:hAnsi="仿宋" w:eastAsia="仿宋" w:cs="仿宋"/>
          <w:b w:val="0"/>
          <w:spacing w:val="0"/>
          <w:kern w:val="2"/>
          <w:sz w:val="32"/>
          <w:szCs w:val="32"/>
          <w:lang w:val="en-US" w:eastAsia="zh-CN" w:bidi="ar-SA"/>
        </w:rPr>
        <w:t xml:space="preserve"> （4）酸性气体脱除装置产污环节</w:t>
      </w:r>
    </w:p>
    <w:tbl>
      <w:tblPr>
        <w:tblStyle w:val="21"/>
        <w:tblpPr w:leftFromText="180" w:rightFromText="180" w:vertAnchor="text" w:horzAnchor="page" w:tblpX="1539" w:tblpY="385"/>
        <w:tblOverlap w:val="never"/>
        <w:tblW w:w="9059"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84"/>
        <w:gridCol w:w="2531"/>
        <w:gridCol w:w="2914"/>
        <w:gridCol w:w="273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84"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污染物</w:t>
            </w:r>
          </w:p>
        </w:tc>
        <w:tc>
          <w:tcPr>
            <w:tcW w:w="2531"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污染源名称</w:t>
            </w:r>
          </w:p>
        </w:tc>
        <w:tc>
          <w:tcPr>
            <w:tcW w:w="2914"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主要污染物</w:t>
            </w:r>
          </w:p>
        </w:tc>
        <w:tc>
          <w:tcPr>
            <w:tcW w:w="273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处理方式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84" w:type="dxa"/>
            <w:vMerge w:val="restart"/>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废气</w:t>
            </w:r>
          </w:p>
        </w:tc>
        <w:tc>
          <w:tcPr>
            <w:tcW w:w="2531"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再生尾气</w:t>
            </w:r>
          </w:p>
        </w:tc>
        <w:tc>
          <w:tcPr>
            <w:tcW w:w="2914"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CO2、N2、CO、甲醇、CH4</w:t>
            </w:r>
          </w:p>
        </w:tc>
        <w:tc>
          <w:tcPr>
            <w:tcW w:w="273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30m高空排放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84" w:type="dxa"/>
            <w:vMerge w:val="continue"/>
            <w:noWrap w:val="0"/>
            <w:vAlign w:val="center"/>
          </w:tcPr>
          <w:p>
            <w:pPr>
              <w:spacing w:line="300" w:lineRule="exact"/>
              <w:jc w:val="center"/>
              <w:rPr>
                <w:rFonts w:hint="eastAsia" w:ascii="仿宋" w:hAnsi="仿宋" w:eastAsia="仿宋" w:cs="仿宋"/>
                <w:sz w:val="21"/>
                <w:szCs w:val="21"/>
              </w:rPr>
            </w:pPr>
          </w:p>
        </w:tc>
        <w:tc>
          <w:tcPr>
            <w:tcW w:w="2531"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富含硫气</w:t>
            </w:r>
          </w:p>
        </w:tc>
        <w:tc>
          <w:tcPr>
            <w:tcW w:w="2914"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CO2、N2、CH4、H2S</w:t>
            </w:r>
          </w:p>
        </w:tc>
        <w:tc>
          <w:tcPr>
            <w:tcW w:w="273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去硫回收装置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84"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废水</w:t>
            </w:r>
          </w:p>
        </w:tc>
        <w:tc>
          <w:tcPr>
            <w:tcW w:w="2531"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甲醇水分离塔废水</w:t>
            </w:r>
          </w:p>
        </w:tc>
        <w:tc>
          <w:tcPr>
            <w:tcW w:w="2914"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COD、SS、挥发酚、石油类</w:t>
            </w:r>
          </w:p>
        </w:tc>
        <w:tc>
          <w:tcPr>
            <w:tcW w:w="2730"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去终端水处理装置</w:t>
            </w:r>
          </w:p>
        </w:tc>
      </w:tr>
    </w:tbl>
    <w:p>
      <w:pPr>
        <w:pStyle w:val="60"/>
        <w:spacing w:line="520" w:lineRule="exact"/>
        <w:rPr>
          <w:rFonts w:hint="eastAsia" w:ascii="微软雅黑" w:hAnsi="微软雅黑" w:eastAsia="微软雅黑" w:cs="微软雅黑"/>
          <w:b w:val="0"/>
          <w:spacing w:val="0"/>
          <w:kern w:val="2"/>
          <w:sz w:val="22"/>
          <w:szCs w:val="22"/>
          <w:lang w:val="en-US" w:eastAsia="zh-CN" w:bidi="ar-SA"/>
        </w:rPr>
      </w:pPr>
    </w:p>
    <w:p>
      <w:pPr>
        <w:pStyle w:val="60"/>
        <w:numPr>
          <w:ilvl w:val="0"/>
          <w:numId w:val="0"/>
        </w:numPr>
        <w:spacing w:line="520" w:lineRule="exact"/>
        <w:rPr>
          <w:rFonts w:hint="eastAsia" w:ascii="仿宋" w:hAnsi="仿宋" w:eastAsia="仿宋" w:cs="仿宋"/>
          <w:b w:val="0"/>
          <w:spacing w:val="0"/>
          <w:kern w:val="2"/>
          <w:sz w:val="32"/>
          <w:szCs w:val="32"/>
          <w:lang w:val="en-US" w:eastAsia="zh-CN" w:bidi="ar-SA"/>
        </w:rPr>
      </w:pPr>
      <w:r>
        <w:rPr>
          <w:rFonts w:hint="eastAsia" w:ascii="仿宋" w:hAnsi="仿宋" w:eastAsia="仿宋" w:cs="仿宋"/>
          <w:b w:val="0"/>
          <w:spacing w:val="0"/>
          <w:kern w:val="2"/>
          <w:sz w:val="32"/>
          <w:szCs w:val="32"/>
          <w:lang w:val="en-US" w:eastAsia="zh-CN" w:bidi="ar-SA"/>
        </w:rPr>
        <w:t>（5）液氮洗装置产污环节</w:t>
      </w:r>
    </w:p>
    <w:tbl>
      <w:tblPr>
        <w:tblStyle w:val="21"/>
        <w:tblpPr w:leftFromText="180" w:rightFromText="180" w:vertAnchor="text" w:horzAnchor="page" w:tblpX="1577" w:tblpY="328"/>
        <w:tblOverlap w:val="never"/>
        <w:tblW w:w="9136"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99"/>
        <w:gridCol w:w="2231"/>
        <w:gridCol w:w="2745"/>
        <w:gridCol w:w="296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199"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污染物</w:t>
            </w:r>
          </w:p>
        </w:tc>
        <w:tc>
          <w:tcPr>
            <w:tcW w:w="2231"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污染源名称</w:t>
            </w:r>
          </w:p>
        </w:tc>
        <w:tc>
          <w:tcPr>
            <w:tcW w:w="274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主要污染物</w:t>
            </w:r>
          </w:p>
        </w:tc>
        <w:tc>
          <w:tcPr>
            <w:tcW w:w="2961"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处理方式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199"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废气</w:t>
            </w:r>
          </w:p>
        </w:tc>
        <w:tc>
          <w:tcPr>
            <w:tcW w:w="2231"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液氮洗解吸气</w:t>
            </w:r>
          </w:p>
        </w:tc>
        <w:tc>
          <w:tcPr>
            <w:tcW w:w="274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CO、N2、CH4、H2、Ar</w:t>
            </w:r>
          </w:p>
        </w:tc>
        <w:tc>
          <w:tcPr>
            <w:tcW w:w="2961"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送火炬燃烧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199"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固废</w:t>
            </w:r>
          </w:p>
        </w:tc>
        <w:tc>
          <w:tcPr>
            <w:tcW w:w="2231"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液氮洗废分子筛</w:t>
            </w:r>
          </w:p>
        </w:tc>
        <w:tc>
          <w:tcPr>
            <w:tcW w:w="2745"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SiO2、Al2O3等</w:t>
            </w:r>
          </w:p>
        </w:tc>
        <w:tc>
          <w:tcPr>
            <w:tcW w:w="2961" w:type="dxa"/>
            <w:noWrap w:val="0"/>
            <w:vAlign w:val="center"/>
          </w:tcPr>
          <w:p>
            <w:pPr>
              <w:spacing w:line="300" w:lineRule="exact"/>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有资质危废单位处置</w:t>
            </w:r>
          </w:p>
        </w:tc>
      </w:tr>
    </w:tbl>
    <w:p>
      <w:pPr>
        <w:pStyle w:val="60"/>
        <w:spacing w:line="480" w:lineRule="exact"/>
        <w:rPr>
          <w:rFonts w:hint="eastAsia" w:ascii="微软雅黑" w:hAnsi="微软雅黑" w:eastAsia="微软雅黑" w:cs="微软雅黑"/>
          <w:b w:val="0"/>
          <w:spacing w:val="0"/>
          <w:kern w:val="2"/>
          <w:sz w:val="22"/>
          <w:szCs w:val="22"/>
          <w:lang w:val="en-US" w:eastAsia="zh-CN" w:bidi="ar-SA"/>
        </w:rPr>
      </w:pPr>
    </w:p>
    <w:p>
      <w:pPr>
        <w:pStyle w:val="60"/>
        <w:spacing w:line="480" w:lineRule="exact"/>
        <w:rPr>
          <w:rFonts w:hint="eastAsia" w:ascii="仿宋" w:hAnsi="仿宋" w:eastAsia="仿宋" w:cs="仿宋"/>
          <w:sz w:val="32"/>
          <w:szCs w:val="32"/>
          <w:lang w:val="en-US" w:eastAsia="zh-CN"/>
        </w:rPr>
      </w:pPr>
      <w:r>
        <w:rPr>
          <w:rFonts w:hint="eastAsia" w:ascii="仿宋" w:hAnsi="仿宋" w:eastAsia="仿宋" w:cs="仿宋"/>
          <w:b w:val="0"/>
          <w:spacing w:val="0"/>
          <w:kern w:val="2"/>
          <w:sz w:val="32"/>
          <w:szCs w:val="32"/>
          <w:lang w:val="en-US" w:eastAsia="zh-CN" w:bidi="ar-SA"/>
        </w:rPr>
        <w:t>（6）硫回收装置产污环节</w:t>
      </w:r>
    </w:p>
    <w:tbl>
      <w:tblPr>
        <w:tblStyle w:val="21"/>
        <w:tblpPr w:leftFromText="180" w:rightFromText="180" w:vertAnchor="text" w:horzAnchor="page" w:tblpX="1696" w:tblpY="656"/>
        <w:tblOverlap w:val="never"/>
        <w:tblW w:w="8829"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84"/>
        <w:gridCol w:w="2531"/>
        <w:gridCol w:w="2048"/>
        <w:gridCol w:w="336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84"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污染物</w:t>
            </w:r>
          </w:p>
        </w:tc>
        <w:tc>
          <w:tcPr>
            <w:tcW w:w="2531"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污染源名称</w:t>
            </w:r>
          </w:p>
        </w:tc>
        <w:tc>
          <w:tcPr>
            <w:tcW w:w="2048"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主要污染物</w:t>
            </w:r>
          </w:p>
        </w:tc>
        <w:tc>
          <w:tcPr>
            <w:tcW w:w="3366"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处理方式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84"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废气</w:t>
            </w:r>
          </w:p>
        </w:tc>
        <w:tc>
          <w:tcPr>
            <w:tcW w:w="2531"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硫回收焚烧尾气</w:t>
            </w:r>
          </w:p>
        </w:tc>
        <w:tc>
          <w:tcPr>
            <w:tcW w:w="2048"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SO2</w:t>
            </w:r>
          </w:p>
        </w:tc>
        <w:tc>
          <w:tcPr>
            <w:tcW w:w="3366"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经双碱法脱硫后30m高排气筒排放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84"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废水</w:t>
            </w:r>
          </w:p>
        </w:tc>
        <w:tc>
          <w:tcPr>
            <w:tcW w:w="2531"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酸性气体洗涤废水</w:t>
            </w:r>
          </w:p>
        </w:tc>
        <w:tc>
          <w:tcPr>
            <w:tcW w:w="2048"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甲醇、硫化物</w:t>
            </w:r>
          </w:p>
        </w:tc>
        <w:tc>
          <w:tcPr>
            <w:tcW w:w="3366"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进终端水处理装置处理后排放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84"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固废</w:t>
            </w:r>
          </w:p>
        </w:tc>
        <w:tc>
          <w:tcPr>
            <w:tcW w:w="2531"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硫回收废催化剂</w:t>
            </w:r>
          </w:p>
        </w:tc>
        <w:tc>
          <w:tcPr>
            <w:tcW w:w="2048"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Al2O3、TiO2</w:t>
            </w:r>
          </w:p>
        </w:tc>
        <w:tc>
          <w:tcPr>
            <w:tcW w:w="3366" w:type="dxa"/>
            <w:noWrap w:val="0"/>
            <w:vAlign w:val="center"/>
          </w:tcPr>
          <w:p>
            <w:pPr>
              <w:spacing w:line="300" w:lineRule="exact"/>
              <w:jc w:val="center"/>
              <w:rPr>
                <w:rFonts w:hint="eastAsia" w:ascii="仿宋" w:hAnsi="仿宋" w:eastAsia="仿宋" w:cs="仿宋"/>
                <w:sz w:val="21"/>
                <w:szCs w:val="21"/>
              </w:rPr>
            </w:pPr>
            <w:r>
              <w:rPr>
                <w:rFonts w:hint="eastAsia" w:ascii="仿宋" w:hAnsi="仿宋" w:eastAsia="仿宋" w:cs="仿宋"/>
                <w:sz w:val="21"/>
                <w:szCs w:val="21"/>
                <w:lang w:val="en-US" w:eastAsia="zh-CN"/>
              </w:rPr>
              <w:t>有资质危废单位处置</w:t>
            </w:r>
          </w:p>
        </w:tc>
      </w:tr>
    </w:tbl>
    <w:p>
      <w:pPr>
        <w:pStyle w:val="12"/>
        <w:spacing w:line="520" w:lineRule="exact"/>
        <w:rPr>
          <w:rFonts w:hint="eastAsia" w:ascii="微软雅黑" w:hAnsi="微软雅黑" w:eastAsia="微软雅黑" w:cs="微软雅黑"/>
          <w:sz w:val="22"/>
          <w:szCs w:val="22"/>
          <w:lang w:val="en-US" w:eastAsia="zh-CN"/>
        </w:rPr>
      </w:pPr>
    </w:p>
    <w:p>
      <w:pPr>
        <w:pStyle w:val="12"/>
        <w:spacing w:line="520" w:lineRule="exact"/>
        <w:rPr>
          <w:rFonts w:hint="eastAsia" w:ascii="微软雅黑" w:hAnsi="微软雅黑" w:eastAsia="微软雅黑" w:cs="微软雅黑"/>
          <w:sz w:val="22"/>
          <w:szCs w:val="22"/>
          <w:lang w:val="en-US" w:eastAsia="zh-CN"/>
        </w:rPr>
      </w:pPr>
    </w:p>
    <w:p>
      <w:pPr>
        <w:pStyle w:val="12"/>
        <w:spacing w:line="520" w:lineRule="exact"/>
        <w:rPr>
          <w:rFonts w:hint="eastAsia" w:ascii="微软雅黑" w:hAnsi="微软雅黑" w:eastAsia="微软雅黑" w:cs="微软雅黑"/>
          <w:sz w:val="22"/>
          <w:szCs w:val="22"/>
          <w:lang w:val="en-US" w:eastAsia="zh-CN"/>
        </w:rPr>
      </w:pPr>
    </w:p>
    <w:p>
      <w:pPr>
        <w:pStyle w:val="12"/>
        <w:spacing w:line="520" w:lineRule="exact"/>
        <w:rPr>
          <w:rFonts w:hint="eastAsia" w:ascii="仿宋" w:hAnsi="仿宋" w:eastAsia="仿宋" w:cs="仿宋"/>
          <w:sz w:val="32"/>
          <w:szCs w:val="32"/>
          <w:lang w:val="en-US" w:eastAsia="zh-CN"/>
        </w:rPr>
      </w:pPr>
    </w:p>
    <w:p>
      <w:pPr>
        <w:pStyle w:val="12"/>
        <w:spacing w:line="520" w:lineRule="exact"/>
        <w:rPr>
          <w:rFonts w:hint="eastAsia" w:ascii="仿宋" w:hAnsi="仿宋" w:eastAsia="仿宋" w:cs="仿宋"/>
          <w:sz w:val="32"/>
          <w:szCs w:val="32"/>
          <w:lang w:val="en-US" w:eastAsia="zh-CN"/>
        </w:rPr>
      </w:pPr>
    </w:p>
    <w:p>
      <w:pPr>
        <w:pStyle w:val="12"/>
        <w:spacing w:line="520" w:lineRule="exac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3.2 环保措施及设施</w:t>
      </w:r>
    </w:p>
    <w:p>
      <w:pPr>
        <w:keepNext w:val="0"/>
        <w:keepLines w:val="0"/>
        <w:pageBreakBefore w:val="0"/>
        <w:widowControl w:val="0"/>
        <w:kinsoku/>
        <w:wordWrap/>
        <w:overflowPunct/>
        <w:topLinePunct w:val="0"/>
        <w:autoSpaceDE/>
        <w:autoSpaceDN/>
        <w:bidi w:val="0"/>
        <w:adjustRightInd w:val="0"/>
        <w:snapToGrid w:val="0"/>
        <w:spacing w:line="276"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color w:val="000000"/>
          <w:sz w:val="32"/>
          <w:szCs w:val="32"/>
          <w:lang w:val="en-US" w:eastAsia="zh-CN"/>
        </w:rPr>
        <w:t>根据环境影响评价报告及省环保厅的批复文件，严格按照国家标准和规范及设计要求进行建设。安阳盈德气体有限公司与主体工程同时建设了粉尘净化及高空排放系统、硫回收系统、火炬系统、备煤系统、废水生化处理系统、事故水池、降噪设施等环境污染防治措施。防治设施如下：</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 废气处理设施一览表</w:t>
      </w:r>
    </w:p>
    <w:tbl>
      <w:tblPr>
        <w:tblStyle w:val="21"/>
        <w:tblpPr w:leftFromText="180" w:rightFromText="180" w:vertAnchor="text" w:horzAnchor="page" w:tblpXSpec="center" w:tblpY="592"/>
        <w:tblOverlap w:val="never"/>
        <w:tblW w:w="4998"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28" w:type="dxa"/>
          <w:bottom w:w="0" w:type="dxa"/>
          <w:right w:w="28" w:type="dxa"/>
        </w:tblCellMar>
      </w:tblPr>
      <w:tblGrid>
        <w:gridCol w:w="1343"/>
        <w:gridCol w:w="2309"/>
        <w:gridCol w:w="2452"/>
        <w:gridCol w:w="2353"/>
        <w:gridCol w:w="145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827" w:hRule="atLeast"/>
          <w:jc w:val="center"/>
        </w:trPr>
        <w:tc>
          <w:tcPr>
            <w:tcW w:w="677" w:type="pct"/>
            <w:tcBorders>
              <w:top w:val="single" w:color="auto" w:sz="4" w:space="0"/>
              <w:left w:val="single" w:color="000000" w:sz="6" w:space="0"/>
              <w:bottom w:val="single" w:color="000000" w:sz="6" w:space="0"/>
            </w:tcBorders>
            <w:vAlign w:val="center"/>
          </w:tcPr>
          <w:p>
            <w:pPr>
              <w:spacing w:line="300" w:lineRule="exact"/>
              <w:rPr>
                <w:rFonts w:hint="eastAsia" w:ascii="宋体" w:hAnsi="宋体" w:eastAsia="宋体" w:cs="宋体"/>
                <w:b/>
                <w:sz w:val="21"/>
                <w:szCs w:val="21"/>
              </w:rPr>
            </w:pPr>
            <w:r>
              <w:rPr>
                <w:rFonts w:hint="eastAsia" w:ascii="宋体" w:hAnsi="宋体" w:eastAsia="宋体" w:cs="宋体"/>
                <w:b/>
                <w:sz w:val="21"/>
                <w:szCs w:val="21"/>
              </w:rPr>
              <w:t>主要装置</w:t>
            </w:r>
          </w:p>
        </w:tc>
        <w:tc>
          <w:tcPr>
            <w:tcW w:w="1164" w:type="pct"/>
            <w:tcBorders>
              <w:top w:val="single" w:color="auto" w:sz="4" w:space="0"/>
              <w:bottom w:val="single" w:color="000000" w:sz="6" w:space="0"/>
            </w:tcBorders>
            <w:vAlign w:val="center"/>
          </w:tcPr>
          <w:p>
            <w:pPr>
              <w:spacing w:line="300" w:lineRule="exact"/>
              <w:rPr>
                <w:rFonts w:hint="eastAsia" w:ascii="宋体" w:hAnsi="宋体" w:eastAsia="宋体" w:cs="宋体"/>
                <w:b/>
                <w:sz w:val="21"/>
                <w:szCs w:val="21"/>
              </w:rPr>
            </w:pPr>
            <w:r>
              <w:rPr>
                <w:rFonts w:hint="eastAsia" w:ascii="宋体" w:hAnsi="宋体" w:eastAsia="宋体" w:cs="宋体"/>
                <w:b/>
                <w:sz w:val="21"/>
                <w:szCs w:val="21"/>
              </w:rPr>
              <w:t>项目</w:t>
            </w:r>
          </w:p>
        </w:tc>
        <w:tc>
          <w:tcPr>
            <w:tcW w:w="1236" w:type="pct"/>
            <w:tcBorders>
              <w:top w:val="single" w:color="auto" w:sz="4" w:space="0"/>
              <w:bottom w:val="single" w:color="000000" w:sz="6" w:space="0"/>
            </w:tcBorders>
            <w:vAlign w:val="center"/>
          </w:tcPr>
          <w:p>
            <w:pPr>
              <w:spacing w:line="300" w:lineRule="exact"/>
              <w:rPr>
                <w:rFonts w:hint="eastAsia" w:ascii="宋体" w:hAnsi="宋体" w:eastAsia="宋体" w:cs="宋体"/>
                <w:b/>
                <w:sz w:val="21"/>
                <w:szCs w:val="21"/>
              </w:rPr>
            </w:pPr>
            <w:r>
              <w:rPr>
                <w:rFonts w:hint="eastAsia" w:ascii="宋体" w:hAnsi="宋体" w:eastAsia="宋体" w:cs="宋体"/>
                <w:b/>
                <w:sz w:val="21"/>
                <w:szCs w:val="21"/>
              </w:rPr>
              <w:t>环保设计要求</w:t>
            </w:r>
          </w:p>
        </w:tc>
        <w:tc>
          <w:tcPr>
            <w:tcW w:w="1186" w:type="pct"/>
            <w:tcBorders>
              <w:top w:val="single" w:color="auto" w:sz="4" w:space="0"/>
              <w:bottom w:val="single" w:color="000000" w:sz="6" w:space="0"/>
              <w:right w:val="single" w:color="auto" w:sz="4" w:space="0"/>
            </w:tcBorders>
            <w:vAlign w:val="center"/>
          </w:tcPr>
          <w:p>
            <w:pPr>
              <w:spacing w:line="300" w:lineRule="exact"/>
              <w:rPr>
                <w:rFonts w:hint="eastAsia" w:ascii="宋体" w:hAnsi="宋体" w:eastAsia="宋体" w:cs="宋体"/>
                <w:b/>
                <w:sz w:val="21"/>
                <w:szCs w:val="21"/>
              </w:rPr>
            </w:pPr>
            <w:r>
              <w:rPr>
                <w:rFonts w:hint="eastAsia" w:ascii="宋体" w:hAnsi="宋体" w:eastAsia="宋体" w:cs="宋体"/>
                <w:b/>
                <w:sz w:val="21"/>
                <w:szCs w:val="21"/>
              </w:rPr>
              <w:t>实际建设情况</w:t>
            </w:r>
          </w:p>
        </w:tc>
        <w:tc>
          <w:tcPr>
            <w:tcW w:w="735" w:type="pct"/>
            <w:tcBorders>
              <w:top w:val="single" w:color="auto" w:sz="4" w:space="0"/>
              <w:left w:val="single" w:color="auto" w:sz="4" w:space="0"/>
              <w:bottom w:val="single" w:color="000000" w:sz="6" w:space="0"/>
              <w:right w:val="single" w:color="auto" w:sz="4" w:space="0"/>
            </w:tcBorders>
            <w:vAlign w:val="center"/>
          </w:tcPr>
          <w:p>
            <w:pPr>
              <w:spacing w:line="300" w:lineRule="exact"/>
              <w:jc w:val="center"/>
              <w:rPr>
                <w:rFonts w:hint="eastAsia" w:ascii="宋体" w:hAnsi="宋体" w:eastAsia="宋体" w:cs="宋体"/>
                <w:b/>
                <w:sz w:val="21"/>
                <w:szCs w:val="21"/>
              </w:rPr>
            </w:pPr>
            <w:r>
              <w:rPr>
                <w:rFonts w:hint="eastAsia" w:ascii="宋体" w:hAnsi="宋体" w:eastAsia="宋体" w:cs="宋体"/>
                <w:b/>
                <w:sz w:val="21"/>
                <w:szCs w:val="21"/>
              </w:rPr>
              <w:t>运行情况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677" w:type="pct"/>
            <w:vMerge w:val="restart"/>
            <w:tcBorders>
              <w:top w:val="single" w:color="auto" w:sz="4" w:space="0"/>
              <w:left w:val="single" w:color="000000" w:sz="6" w:space="0"/>
              <w:bottom w:val="single" w:color="000000" w:sz="6" w:space="0"/>
            </w:tcBorders>
            <w:vAlign w:val="center"/>
          </w:tcPr>
          <w:p>
            <w:pPr>
              <w:spacing w:line="300" w:lineRule="exact"/>
              <w:jc w:val="center"/>
              <w:rPr>
                <w:rFonts w:hint="eastAsia" w:ascii="宋体" w:hAnsi="宋体" w:eastAsia="宋体" w:cs="宋体"/>
                <w:b/>
                <w:sz w:val="21"/>
                <w:szCs w:val="21"/>
              </w:rPr>
            </w:pPr>
            <w:r>
              <w:rPr>
                <w:rFonts w:hint="eastAsia" w:ascii="宋体" w:hAnsi="宋体" w:eastAsia="宋体" w:cs="宋体"/>
                <w:b/>
                <w:sz w:val="21"/>
                <w:szCs w:val="21"/>
              </w:rPr>
              <w:t>气化</w:t>
            </w:r>
          </w:p>
        </w:tc>
        <w:tc>
          <w:tcPr>
            <w:tcW w:w="1164" w:type="pct"/>
            <w:tcBorders>
              <w:top w:val="single" w:color="000000" w:sz="6" w:space="0"/>
              <w:bottom w:val="single" w:color="000000" w:sz="6"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煤浆制备工段煤粉尘</w:t>
            </w:r>
          </w:p>
        </w:tc>
        <w:tc>
          <w:tcPr>
            <w:tcW w:w="1236" w:type="pct"/>
            <w:tcBorders>
              <w:top w:val="single" w:color="000000" w:sz="6" w:space="0"/>
              <w:bottom w:val="single" w:color="000000" w:sz="6"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袋式除尘器，设计50米高空排放</w:t>
            </w:r>
          </w:p>
        </w:tc>
        <w:tc>
          <w:tcPr>
            <w:tcW w:w="1186" w:type="pct"/>
            <w:tcBorders>
              <w:top w:val="single" w:color="auto" w:sz="4" w:space="0"/>
              <w:bottom w:val="single" w:color="auto" w:sz="4" w:space="0"/>
              <w:right w:val="single" w:color="auto" w:sz="4" w:space="0"/>
            </w:tcBorders>
            <w:vAlign w:val="center"/>
          </w:tcPr>
          <w:p>
            <w:pPr>
              <w:widowControl/>
              <w:spacing w:line="300" w:lineRule="exact"/>
              <w:rPr>
                <w:rFonts w:hint="eastAsia" w:ascii="宋体" w:hAnsi="宋体" w:eastAsia="宋体" w:cs="宋体"/>
                <w:sz w:val="21"/>
                <w:szCs w:val="21"/>
              </w:rPr>
            </w:pPr>
            <w:r>
              <w:rPr>
                <w:rFonts w:hint="eastAsia" w:ascii="宋体" w:hAnsi="宋体" w:eastAsia="宋体" w:cs="宋体"/>
                <w:sz w:val="21"/>
                <w:szCs w:val="21"/>
              </w:rPr>
              <w:t>已完成，54米高空排放</w:t>
            </w:r>
          </w:p>
        </w:tc>
        <w:tc>
          <w:tcPr>
            <w:tcW w:w="735"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eastAsia" w:ascii="宋体" w:hAnsi="宋体" w:eastAsia="宋体" w:cs="宋体"/>
                <w:sz w:val="21"/>
                <w:szCs w:val="21"/>
              </w:rPr>
            </w:pPr>
            <w:r>
              <w:rPr>
                <w:rFonts w:hint="eastAsia" w:ascii="宋体" w:hAnsi="宋体" w:eastAsia="宋体" w:cs="宋体"/>
                <w:sz w:val="21"/>
                <w:szCs w:val="21"/>
              </w:rPr>
              <w:t>运行正常 达标排放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945" w:hRule="atLeast"/>
          <w:jc w:val="center"/>
        </w:trPr>
        <w:tc>
          <w:tcPr>
            <w:tcW w:w="677" w:type="pct"/>
            <w:vMerge w:val="continue"/>
            <w:tcBorders>
              <w:top w:val="single" w:color="000000" w:sz="6" w:space="0"/>
              <w:left w:val="single" w:color="000000" w:sz="6" w:space="0"/>
              <w:bottom w:val="single" w:color="auto" w:sz="4" w:space="0"/>
            </w:tcBorders>
            <w:vAlign w:val="center"/>
          </w:tcPr>
          <w:p>
            <w:pPr>
              <w:spacing w:line="300" w:lineRule="exact"/>
              <w:jc w:val="center"/>
              <w:rPr>
                <w:rFonts w:hint="eastAsia" w:ascii="宋体" w:hAnsi="宋体" w:eastAsia="宋体" w:cs="宋体"/>
                <w:b/>
                <w:sz w:val="21"/>
                <w:szCs w:val="21"/>
              </w:rPr>
            </w:pPr>
          </w:p>
        </w:tc>
        <w:tc>
          <w:tcPr>
            <w:tcW w:w="1164" w:type="pct"/>
            <w:tcBorders>
              <w:top w:val="single" w:color="000000" w:sz="6" w:space="0"/>
              <w:bottom w:val="single" w:color="auto" w:sz="4"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真空泵分离器出口尾气</w:t>
            </w:r>
          </w:p>
        </w:tc>
        <w:tc>
          <w:tcPr>
            <w:tcW w:w="1236" w:type="pct"/>
            <w:tcBorders>
              <w:top w:val="single" w:color="000000" w:sz="6" w:space="0"/>
              <w:bottom w:val="single" w:color="auto" w:sz="4"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25m高排气筒排放放空</w:t>
            </w:r>
          </w:p>
          <w:p>
            <w:pPr>
              <w:spacing w:line="300" w:lineRule="exact"/>
              <w:rPr>
                <w:rFonts w:hint="eastAsia" w:ascii="宋体" w:hAnsi="宋体" w:eastAsia="宋体" w:cs="宋体"/>
                <w:sz w:val="21"/>
                <w:szCs w:val="21"/>
              </w:rPr>
            </w:pPr>
            <w:r>
              <w:rPr>
                <w:rFonts w:hint="eastAsia" w:ascii="宋体" w:hAnsi="宋体" w:eastAsia="宋体" w:cs="宋体"/>
                <w:sz w:val="21"/>
                <w:szCs w:val="21"/>
              </w:rPr>
              <w:t>黑水处理两级真空闪蒸器</w:t>
            </w:r>
          </w:p>
        </w:tc>
        <w:tc>
          <w:tcPr>
            <w:tcW w:w="1186" w:type="pct"/>
            <w:tcBorders>
              <w:top w:val="single" w:color="auto" w:sz="4" w:space="0"/>
              <w:bottom w:val="single" w:color="auto" w:sz="4" w:space="0"/>
              <w:right w:val="single" w:color="auto" w:sz="4"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已完成，27米高空排放</w:t>
            </w:r>
          </w:p>
        </w:tc>
        <w:tc>
          <w:tcPr>
            <w:tcW w:w="735"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运行正常 达标排放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255" w:hRule="atLeast"/>
          <w:jc w:val="center"/>
        </w:trPr>
        <w:tc>
          <w:tcPr>
            <w:tcW w:w="677" w:type="pct"/>
            <w:tcBorders>
              <w:top w:val="single" w:color="auto" w:sz="4" w:space="0"/>
              <w:left w:val="single" w:color="000000" w:sz="6" w:space="0"/>
              <w:bottom w:val="single" w:color="auto" w:sz="4" w:space="0"/>
            </w:tcBorders>
            <w:vAlign w:val="center"/>
          </w:tcPr>
          <w:p>
            <w:pPr>
              <w:spacing w:line="300" w:lineRule="exact"/>
              <w:jc w:val="center"/>
              <w:rPr>
                <w:rFonts w:hint="eastAsia" w:ascii="宋体" w:hAnsi="宋体" w:eastAsia="宋体" w:cs="宋体"/>
                <w:b/>
                <w:sz w:val="21"/>
                <w:szCs w:val="21"/>
              </w:rPr>
            </w:pPr>
          </w:p>
        </w:tc>
        <w:tc>
          <w:tcPr>
            <w:tcW w:w="1164" w:type="pct"/>
            <w:tcBorders>
              <w:top w:val="single" w:color="auto" w:sz="4" w:space="0"/>
              <w:bottom w:val="single" w:color="000000" w:sz="6"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低压闪蒸气</w:t>
            </w:r>
          </w:p>
        </w:tc>
        <w:tc>
          <w:tcPr>
            <w:tcW w:w="1236" w:type="pct"/>
            <w:tcBorders>
              <w:top w:val="single" w:color="auto" w:sz="4" w:space="0"/>
              <w:bottom w:val="single" w:color="auto" w:sz="4"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送火炬燃烧后60m</w:t>
            </w:r>
          </w:p>
          <w:p>
            <w:pPr>
              <w:spacing w:line="300" w:lineRule="exact"/>
              <w:rPr>
                <w:rFonts w:hint="eastAsia" w:ascii="宋体" w:hAnsi="宋体" w:eastAsia="宋体" w:cs="宋体"/>
                <w:sz w:val="21"/>
                <w:szCs w:val="21"/>
              </w:rPr>
            </w:pPr>
            <w:r>
              <w:rPr>
                <w:rFonts w:hint="eastAsia" w:ascii="宋体" w:hAnsi="宋体" w:eastAsia="宋体" w:cs="宋体"/>
                <w:sz w:val="21"/>
                <w:szCs w:val="21"/>
              </w:rPr>
              <w:t>高空排放</w:t>
            </w:r>
          </w:p>
        </w:tc>
        <w:tc>
          <w:tcPr>
            <w:tcW w:w="1186" w:type="pct"/>
            <w:tcBorders>
              <w:top w:val="single" w:color="auto" w:sz="4" w:space="0"/>
              <w:bottom w:val="single" w:color="auto" w:sz="4" w:space="0"/>
              <w:right w:val="single" w:color="auto" w:sz="4" w:space="0"/>
            </w:tcBorders>
            <w:vAlign w:val="center"/>
          </w:tcPr>
          <w:p>
            <w:pPr>
              <w:spacing w:line="300" w:lineRule="exact"/>
              <w:rPr>
                <w:rFonts w:hint="eastAsia" w:ascii="宋体" w:hAnsi="宋体" w:eastAsia="宋体" w:cs="宋体"/>
                <w:sz w:val="21"/>
                <w:szCs w:val="21"/>
              </w:rPr>
            </w:pPr>
          </w:p>
        </w:tc>
        <w:tc>
          <w:tcPr>
            <w:tcW w:w="735"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677" w:type="pct"/>
            <w:vMerge w:val="restart"/>
            <w:tcBorders>
              <w:top w:val="single" w:color="auto" w:sz="4" w:space="0"/>
              <w:left w:val="single" w:color="000000" w:sz="6" w:space="0"/>
              <w:bottom w:val="single" w:color="000000" w:sz="6" w:space="0"/>
            </w:tcBorders>
            <w:vAlign w:val="center"/>
          </w:tcPr>
          <w:p>
            <w:pPr>
              <w:spacing w:line="300" w:lineRule="exact"/>
              <w:jc w:val="center"/>
              <w:rPr>
                <w:rFonts w:hint="eastAsia" w:ascii="宋体" w:hAnsi="宋体" w:eastAsia="宋体" w:cs="宋体"/>
                <w:b/>
                <w:sz w:val="21"/>
                <w:szCs w:val="21"/>
              </w:rPr>
            </w:pPr>
            <w:r>
              <w:rPr>
                <w:rFonts w:hint="eastAsia" w:ascii="宋体" w:hAnsi="宋体" w:eastAsia="宋体" w:cs="宋体"/>
                <w:b/>
                <w:sz w:val="21"/>
                <w:szCs w:val="21"/>
              </w:rPr>
              <w:t>净化装置</w:t>
            </w:r>
          </w:p>
        </w:tc>
        <w:tc>
          <w:tcPr>
            <w:tcW w:w="1164" w:type="pct"/>
            <w:tcBorders>
              <w:top w:val="single" w:color="000000" w:sz="6" w:space="0"/>
              <w:bottom w:val="single" w:color="000000" w:sz="6"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富含硫尾气</w:t>
            </w:r>
          </w:p>
        </w:tc>
        <w:tc>
          <w:tcPr>
            <w:tcW w:w="1236" w:type="pct"/>
            <w:tcBorders>
              <w:top w:val="single" w:color="auto" w:sz="4" w:space="0"/>
              <w:bottom w:val="single" w:color="000000" w:sz="6"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超优克劳斯硫回收</w:t>
            </w:r>
          </w:p>
        </w:tc>
        <w:tc>
          <w:tcPr>
            <w:tcW w:w="1186" w:type="pct"/>
            <w:tcBorders>
              <w:top w:val="single" w:color="auto" w:sz="4" w:space="0"/>
              <w:bottom w:val="single" w:color="auto" w:sz="4" w:space="0"/>
              <w:right w:val="single" w:color="auto" w:sz="4"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已完成，超优克劳斯硫回收</w:t>
            </w:r>
          </w:p>
        </w:tc>
        <w:tc>
          <w:tcPr>
            <w:tcW w:w="735"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运行正常 达标排放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895" w:hRule="atLeast"/>
          <w:jc w:val="center"/>
        </w:trPr>
        <w:tc>
          <w:tcPr>
            <w:tcW w:w="677" w:type="pct"/>
            <w:vMerge w:val="continue"/>
            <w:tcBorders>
              <w:top w:val="single" w:color="000000" w:sz="6" w:space="0"/>
              <w:left w:val="single" w:color="000000" w:sz="6" w:space="0"/>
              <w:bottom w:val="single" w:color="000000" w:sz="6" w:space="0"/>
            </w:tcBorders>
            <w:vAlign w:val="center"/>
          </w:tcPr>
          <w:p>
            <w:pPr>
              <w:spacing w:line="300" w:lineRule="exact"/>
              <w:jc w:val="center"/>
              <w:rPr>
                <w:rFonts w:hint="eastAsia" w:ascii="宋体" w:hAnsi="宋体" w:eastAsia="宋体" w:cs="宋体"/>
                <w:b/>
                <w:sz w:val="21"/>
                <w:szCs w:val="21"/>
              </w:rPr>
            </w:pPr>
          </w:p>
        </w:tc>
        <w:tc>
          <w:tcPr>
            <w:tcW w:w="1164" w:type="pct"/>
            <w:tcBorders>
              <w:top w:val="single" w:color="000000" w:sz="6"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硫回收焚烧尾气</w:t>
            </w:r>
          </w:p>
        </w:tc>
        <w:tc>
          <w:tcPr>
            <w:tcW w:w="1236" w:type="pct"/>
            <w:tcBorders>
              <w:top w:val="single" w:color="000000" w:sz="6"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超优克劳斯硫回收尾气焚烧后，再经双减法脱硫后由30米高排气筒排放</w:t>
            </w:r>
          </w:p>
        </w:tc>
        <w:tc>
          <w:tcPr>
            <w:tcW w:w="1186" w:type="pct"/>
            <w:tcBorders>
              <w:top w:val="single" w:color="auto" w:sz="4" w:space="0"/>
              <w:right w:val="single" w:color="auto" w:sz="4" w:space="0"/>
            </w:tcBorders>
            <w:vAlign w:val="center"/>
          </w:tcPr>
          <w:p>
            <w:pPr>
              <w:spacing w:line="300" w:lineRule="exact"/>
              <w:rPr>
                <w:rFonts w:hint="default" w:ascii="宋体" w:hAnsi="宋体" w:eastAsia="宋体" w:cs="宋体"/>
                <w:sz w:val="21"/>
                <w:szCs w:val="21"/>
                <w:lang w:val="en-US" w:eastAsia="zh-CN"/>
              </w:rPr>
            </w:pPr>
            <w:r>
              <w:rPr>
                <w:rFonts w:hint="eastAsia" w:ascii="宋体" w:hAnsi="宋体" w:eastAsia="宋体" w:cs="宋体"/>
                <w:sz w:val="21"/>
                <w:szCs w:val="21"/>
              </w:rPr>
              <w:t>已完成，超优克劳斯硫回收尾气焚烧后经</w:t>
            </w:r>
            <w:r>
              <w:rPr>
                <w:rFonts w:hint="eastAsia" w:ascii="宋体" w:hAnsi="宋体" w:cs="宋体"/>
                <w:sz w:val="21"/>
                <w:szCs w:val="21"/>
                <w:lang w:val="en-US" w:eastAsia="zh-CN"/>
              </w:rPr>
              <w:t>氨法脱硫处置后60米排放。</w:t>
            </w:r>
          </w:p>
        </w:tc>
        <w:tc>
          <w:tcPr>
            <w:tcW w:w="735" w:type="pct"/>
            <w:tcBorders>
              <w:top w:val="single" w:color="auto" w:sz="4" w:space="0"/>
              <w:left w:val="single" w:color="auto" w:sz="4" w:space="0"/>
              <w:right w:val="single" w:color="auto" w:sz="4" w:space="0"/>
            </w:tcBorders>
            <w:vAlign w:val="center"/>
          </w:tcPr>
          <w:p>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运行正常 达标排放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677" w:type="pct"/>
            <w:vMerge w:val="continue"/>
            <w:tcBorders>
              <w:top w:val="single" w:color="000000" w:sz="6" w:space="0"/>
              <w:left w:val="single" w:color="000000" w:sz="6" w:space="0"/>
              <w:bottom w:val="single" w:color="000000" w:sz="6" w:space="0"/>
            </w:tcBorders>
            <w:vAlign w:val="center"/>
          </w:tcPr>
          <w:p>
            <w:pPr>
              <w:spacing w:line="300" w:lineRule="exact"/>
              <w:jc w:val="center"/>
              <w:rPr>
                <w:rFonts w:hint="eastAsia" w:ascii="宋体" w:hAnsi="宋体" w:eastAsia="宋体" w:cs="宋体"/>
                <w:b/>
                <w:sz w:val="21"/>
                <w:szCs w:val="21"/>
              </w:rPr>
            </w:pPr>
          </w:p>
        </w:tc>
        <w:tc>
          <w:tcPr>
            <w:tcW w:w="1164" w:type="pct"/>
            <w:tcBorders>
              <w:top w:val="single" w:color="000000" w:sz="6" w:space="0"/>
              <w:bottom w:val="single" w:color="000000" w:sz="6"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低温甲醇洗再生尾气</w:t>
            </w:r>
          </w:p>
        </w:tc>
        <w:tc>
          <w:tcPr>
            <w:tcW w:w="1236" w:type="pct"/>
            <w:tcBorders>
              <w:top w:val="single" w:color="000000" w:sz="6" w:space="0"/>
              <w:bottom w:val="single" w:color="000000" w:sz="6"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30m高排气筒排放放空</w:t>
            </w:r>
          </w:p>
        </w:tc>
        <w:tc>
          <w:tcPr>
            <w:tcW w:w="1186" w:type="pct"/>
            <w:tcBorders>
              <w:top w:val="single" w:color="auto" w:sz="4" w:space="0"/>
              <w:bottom w:val="single" w:color="auto" w:sz="4" w:space="0"/>
              <w:right w:val="single" w:color="auto" w:sz="4"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已完成，84米高空排放</w:t>
            </w:r>
          </w:p>
        </w:tc>
        <w:tc>
          <w:tcPr>
            <w:tcW w:w="735"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运行正常 达标排放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165" w:hRule="atLeast"/>
          <w:jc w:val="center"/>
        </w:trPr>
        <w:tc>
          <w:tcPr>
            <w:tcW w:w="677" w:type="pct"/>
            <w:vMerge w:val="continue"/>
            <w:tcBorders>
              <w:top w:val="single" w:color="000000" w:sz="6" w:space="0"/>
              <w:left w:val="single" w:color="000000" w:sz="6" w:space="0"/>
              <w:bottom w:val="single" w:color="000000" w:sz="6" w:space="0"/>
            </w:tcBorders>
            <w:vAlign w:val="center"/>
          </w:tcPr>
          <w:p>
            <w:pPr>
              <w:spacing w:line="300" w:lineRule="exact"/>
              <w:jc w:val="center"/>
              <w:rPr>
                <w:rFonts w:hint="eastAsia" w:ascii="宋体" w:hAnsi="宋体" w:eastAsia="宋体" w:cs="宋体"/>
                <w:b/>
                <w:sz w:val="21"/>
                <w:szCs w:val="21"/>
              </w:rPr>
            </w:pPr>
          </w:p>
        </w:tc>
        <w:tc>
          <w:tcPr>
            <w:tcW w:w="1164" w:type="pct"/>
            <w:tcBorders>
              <w:top w:val="single" w:color="000000" w:sz="6" w:space="0"/>
              <w:bottom w:val="single" w:color="auto" w:sz="4" w:space="0"/>
            </w:tcBorders>
            <w:vAlign w:val="center"/>
          </w:tcPr>
          <w:p>
            <w:pPr>
              <w:spacing w:line="300" w:lineRule="exact"/>
              <w:rPr>
                <w:rFonts w:hint="eastAsia" w:ascii="宋体" w:hAnsi="宋体" w:eastAsia="宋体" w:cs="宋体"/>
                <w:sz w:val="21"/>
                <w:szCs w:val="21"/>
              </w:rPr>
            </w:pPr>
          </w:p>
        </w:tc>
        <w:tc>
          <w:tcPr>
            <w:tcW w:w="1236" w:type="pct"/>
            <w:tcBorders>
              <w:top w:val="single" w:color="000000" w:sz="6" w:space="0"/>
              <w:bottom w:val="single" w:color="auto" w:sz="4" w:space="0"/>
            </w:tcBorders>
            <w:vAlign w:val="center"/>
          </w:tcPr>
          <w:p>
            <w:pPr>
              <w:spacing w:line="300" w:lineRule="exact"/>
              <w:rPr>
                <w:rFonts w:hint="eastAsia" w:ascii="宋体" w:hAnsi="宋体" w:eastAsia="宋体" w:cs="宋体"/>
                <w:sz w:val="21"/>
                <w:szCs w:val="21"/>
              </w:rPr>
            </w:pPr>
          </w:p>
        </w:tc>
        <w:tc>
          <w:tcPr>
            <w:tcW w:w="1186" w:type="pct"/>
            <w:vMerge w:val="restart"/>
            <w:tcBorders>
              <w:top w:val="single" w:color="auto" w:sz="4" w:space="0"/>
              <w:bottom w:val="single" w:color="000000" w:sz="6" w:space="0"/>
              <w:right w:val="single" w:color="auto" w:sz="4" w:space="0"/>
            </w:tcBorders>
            <w:vAlign w:val="center"/>
          </w:tcPr>
          <w:p>
            <w:pPr>
              <w:spacing w:line="300" w:lineRule="exact"/>
              <w:rPr>
                <w:rFonts w:hint="eastAsia" w:ascii="宋体" w:hAnsi="宋体" w:eastAsia="宋体" w:cs="宋体"/>
                <w:sz w:val="21"/>
                <w:szCs w:val="21"/>
              </w:rPr>
            </w:pPr>
          </w:p>
          <w:p>
            <w:pPr>
              <w:spacing w:line="300" w:lineRule="exact"/>
              <w:rPr>
                <w:rFonts w:hint="eastAsia" w:ascii="宋体" w:hAnsi="宋体" w:eastAsia="宋体" w:cs="宋体"/>
                <w:sz w:val="21"/>
                <w:szCs w:val="21"/>
              </w:rPr>
            </w:pPr>
            <w:r>
              <w:rPr>
                <w:rFonts w:hint="eastAsia" w:ascii="宋体" w:hAnsi="宋体" w:eastAsia="宋体" w:cs="宋体"/>
                <w:sz w:val="21"/>
                <w:szCs w:val="21"/>
              </w:rPr>
              <w:t>已完成，送火炬燃烧后60m</w:t>
            </w:r>
          </w:p>
          <w:p>
            <w:pPr>
              <w:spacing w:line="300" w:lineRule="exact"/>
              <w:rPr>
                <w:rFonts w:hint="eastAsia" w:ascii="宋体" w:hAnsi="宋体" w:eastAsia="宋体" w:cs="宋体"/>
                <w:sz w:val="21"/>
                <w:szCs w:val="21"/>
              </w:rPr>
            </w:pPr>
            <w:r>
              <w:rPr>
                <w:rFonts w:hint="eastAsia" w:ascii="宋体" w:hAnsi="宋体" w:eastAsia="宋体" w:cs="宋体"/>
                <w:sz w:val="21"/>
                <w:szCs w:val="21"/>
              </w:rPr>
              <w:t>高空排放</w:t>
            </w:r>
          </w:p>
        </w:tc>
        <w:tc>
          <w:tcPr>
            <w:tcW w:w="735" w:type="pct"/>
            <w:vMerge w:val="restart"/>
            <w:tcBorders>
              <w:top w:val="single" w:color="auto" w:sz="4" w:space="0"/>
              <w:left w:val="single" w:color="auto" w:sz="4" w:space="0"/>
              <w:bottom w:val="single" w:color="000000" w:sz="6" w:space="0"/>
              <w:right w:val="single" w:color="auto" w:sz="4" w:space="0"/>
            </w:tcBorders>
            <w:vAlign w:val="center"/>
          </w:tcPr>
          <w:p>
            <w:pPr>
              <w:spacing w:line="300" w:lineRule="exact"/>
              <w:jc w:val="center"/>
              <w:rPr>
                <w:rFonts w:hint="eastAsia" w:ascii="宋体" w:hAnsi="宋体" w:eastAsia="宋体" w:cs="宋体"/>
                <w:sz w:val="21"/>
                <w:szCs w:val="21"/>
              </w:rPr>
            </w:pPr>
          </w:p>
          <w:p>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运行正常 达标排放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180" w:hRule="atLeast"/>
          <w:jc w:val="center"/>
        </w:trPr>
        <w:tc>
          <w:tcPr>
            <w:tcW w:w="677" w:type="pct"/>
            <w:vMerge w:val="continue"/>
            <w:tcBorders>
              <w:top w:val="single" w:color="000000" w:sz="6" w:space="0"/>
              <w:left w:val="single" w:color="000000" w:sz="6" w:space="0"/>
              <w:bottom w:val="single" w:color="000000" w:sz="6" w:space="0"/>
            </w:tcBorders>
            <w:vAlign w:val="center"/>
          </w:tcPr>
          <w:p>
            <w:pPr>
              <w:spacing w:line="300" w:lineRule="exact"/>
              <w:jc w:val="center"/>
              <w:rPr>
                <w:rFonts w:hint="eastAsia" w:ascii="宋体" w:hAnsi="宋体" w:eastAsia="宋体" w:cs="宋体"/>
                <w:b/>
                <w:sz w:val="21"/>
                <w:szCs w:val="21"/>
              </w:rPr>
            </w:pPr>
          </w:p>
        </w:tc>
        <w:tc>
          <w:tcPr>
            <w:tcW w:w="1164" w:type="pct"/>
            <w:tcBorders>
              <w:top w:val="single" w:color="auto" w:sz="4" w:space="0"/>
              <w:bottom w:val="single" w:color="000000" w:sz="6" w:space="0"/>
            </w:tcBorders>
            <w:vAlign w:val="center"/>
          </w:tcPr>
          <w:p>
            <w:pPr>
              <w:spacing w:line="300" w:lineRule="exact"/>
              <w:rPr>
                <w:rFonts w:hint="eastAsia" w:ascii="宋体" w:hAnsi="宋体" w:eastAsia="宋体" w:cs="宋体"/>
                <w:sz w:val="21"/>
                <w:szCs w:val="21"/>
              </w:rPr>
            </w:pPr>
          </w:p>
        </w:tc>
        <w:tc>
          <w:tcPr>
            <w:tcW w:w="1236" w:type="pct"/>
            <w:vMerge w:val="restart"/>
            <w:tcBorders>
              <w:top w:val="single" w:color="auto" w:sz="4" w:space="0"/>
              <w:bottom w:val="single" w:color="000000" w:sz="6"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送火炬燃烧后60m</w:t>
            </w:r>
          </w:p>
          <w:p>
            <w:pPr>
              <w:spacing w:line="300" w:lineRule="exact"/>
              <w:rPr>
                <w:rFonts w:hint="eastAsia" w:ascii="宋体" w:hAnsi="宋体" w:eastAsia="宋体" w:cs="宋体"/>
                <w:sz w:val="21"/>
                <w:szCs w:val="21"/>
              </w:rPr>
            </w:pPr>
            <w:r>
              <w:rPr>
                <w:rFonts w:hint="eastAsia" w:ascii="宋体" w:hAnsi="宋体" w:eastAsia="宋体" w:cs="宋体"/>
                <w:sz w:val="21"/>
                <w:szCs w:val="21"/>
              </w:rPr>
              <w:t>高空排放</w:t>
            </w:r>
          </w:p>
        </w:tc>
        <w:tc>
          <w:tcPr>
            <w:tcW w:w="1186" w:type="pct"/>
            <w:vMerge w:val="continue"/>
            <w:tcBorders>
              <w:top w:val="single" w:color="auto" w:sz="4" w:space="0"/>
              <w:bottom w:val="single" w:color="000000" w:sz="6" w:space="0"/>
              <w:right w:val="single" w:color="auto" w:sz="4" w:space="0"/>
            </w:tcBorders>
            <w:vAlign w:val="center"/>
          </w:tcPr>
          <w:p>
            <w:pPr>
              <w:spacing w:line="300" w:lineRule="exact"/>
              <w:rPr>
                <w:rFonts w:hint="eastAsia" w:ascii="宋体" w:hAnsi="宋体" w:eastAsia="宋体" w:cs="宋体"/>
                <w:sz w:val="21"/>
                <w:szCs w:val="21"/>
              </w:rPr>
            </w:pPr>
          </w:p>
        </w:tc>
        <w:tc>
          <w:tcPr>
            <w:tcW w:w="735" w:type="pct"/>
            <w:vMerge w:val="continue"/>
            <w:tcBorders>
              <w:top w:val="single" w:color="auto" w:sz="4" w:space="0"/>
              <w:left w:val="single" w:color="auto" w:sz="4" w:space="0"/>
              <w:bottom w:val="single" w:color="000000" w:sz="6" w:space="0"/>
              <w:right w:val="single" w:color="auto" w:sz="4" w:space="0"/>
            </w:tcBorders>
            <w:vAlign w:val="center"/>
          </w:tcPr>
          <w:p>
            <w:pPr>
              <w:spacing w:line="300" w:lineRule="exact"/>
              <w:jc w:val="center"/>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677" w:type="pct"/>
            <w:vMerge w:val="continue"/>
            <w:tcBorders>
              <w:top w:val="single" w:color="000000" w:sz="6" w:space="0"/>
              <w:left w:val="single" w:color="000000" w:sz="6" w:space="0"/>
              <w:bottom w:val="single" w:color="000000" w:sz="6" w:space="0"/>
            </w:tcBorders>
            <w:vAlign w:val="center"/>
          </w:tcPr>
          <w:p>
            <w:pPr>
              <w:spacing w:line="300" w:lineRule="exact"/>
              <w:jc w:val="center"/>
              <w:rPr>
                <w:rFonts w:hint="eastAsia" w:ascii="宋体" w:hAnsi="宋体" w:eastAsia="宋体" w:cs="宋体"/>
                <w:b/>
                <w:sz w:val="21"/>
                <w:szCs w:val="21"/>
              </w:rPr>
            </w:pPr>
          </w:p>
        </w:tc>
        <w:tc>
          <w:tcPr>
            <w:tcW w:w="1164" w:type="pct"/>
            <w:tcBorders>
              <w:top w:val="single" w:color="000000" w:sz="6" w:space="0"/>
              <w:bottom w:val="single" w:color="000000" w:sz="6"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冷凝液汽提塔尾气</w:t>
            </w:r>
          </w:p>
        </w:tc>
        <w:tc>
          <w:tcPr>
            <w:tcW w:w="1236" w:type="pct"/>
            <w:vMerge w:val="continue"/>
            <w:tcBorders>
              <w:top w:val="single" w:color="000000" w:sz="6" w:space="0"/>
              <w:bottom w:val="single" w:color="000000" w:sz="6" w:space="0"/>
            </w:tcBorders>
            <w:vAlign w:val="center"/>
          </w:tcPr>
          <w:p>
            <w:pPr>
              <w:spacing w:line="300" w:lineRule="exact"/>
              <w:rPr>
                <w:rFonts w:hint="eastAsia" w:ascii="宋体" w:hAnsi="宋体" w:eastAsia="宋体" w:cs="宋体"/>
                <w:sz w:val="21"/>
                <w:szCs w:val="21"/>
              </w:rPr>
            </w:pPr>
          </w:p>
        </w:tc>
        <w:tc>
          <w:tcPr>
            <w:tcW w:w="1186" w:type="pct"/>
            <w:vMerge w:val="continue"/>
            <w:tcBorders>
              <w:top w:val="single" w:color="000000" w:sz="6" w:space="0"/>
              <w:bottom w:val="single" w:color="000000" w:sz="6" w:space="0"/>
              <w:right w:val="single" w:color="auto" w:sz="4" w:space="0"/>
            </w:tcBorders>
            <w:vAlign w:val="center"/>
          </w:tcPr>
          <w:p>
            <w:pPr>
              <w:spacing w:line="300" w:lineRule="exact"/>
              <w:rPr>
                <w:rFonts w:hint="eastAsia" w:ascii="宋体" w:hAnsi="宋体" w:eastAsia="宋体" w:cs="宋体"/>
                <w:sz w:val="21"/>
                <w:szCs w:val="21"/>
              </w:rPr>
            </w:pPr>
          </w:p>
        </w:tc>
        <w:tc>
          <w:tcPr>
            <w:tcW w:w="735" w:type="pct"/>
            <w:vMerge w:val="continue"/>
            <w:tcBorders>
              <w:top w:val="single" w:color="000000" w:sz="6" w:space="0"/>
              <w:left w:val="single" w:color="auto" w:sz="4" w:space="0"/>
              <w:bottom w:val="single" w:color="000000" w:sz="6" w:space="0"/>
              <w:right w:val="single" w:color="auto" w:sz="4" w:space="0"/>
            </w:tcBorders>
            <w:vAlign w:val="center"/>
          </w:tcPr>
          <w:p>
            <w:pPr>
              <w:spacing w:line="300" w:lineRule="exact"/>
              <w:jc w:val="center"/>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677" w:type="pct"/>
            <w:vMerge w:val="continue"/>
            <w:tcBorders>
              <w:top w:val="single" w:color="000000" w:sz="6" w:space="0"/>
              <w:left w:val="single" w:color="000000" w:sz="6" w:space="0"/>
              <w:bottom w:val="single" w:color="000000" w:sz="6" w:space="0"/>
            </w:tcBorders>
            <w:vAlign w:val="center"/>
          </w:tcPr>
          <w:p>
            <w:pPr>
              <w:spacing w:line="300" w:lineRule="exact"/>
              <w:jc w:val="center"/>
              <w:rPr>
                <w:rFonts w:hint="eastAsia" w:ascii="宋体" w:hAnsi="宋体" w:eastAsia="宋体" w:cs="宋体"/>
                <w:b/>
                <w:sz w:val="21"/>
                <w:szCs w:val="21"/>
              </w:rPr>
            </w:pPr>
          </w:p>
        </w:tc>
        <w:tc>
          <w:tcPr>
            <w:tcW w:w="1164" w:type="pct"/>
            <w:tcBorders>
              <w:top w:val="single" w:color="000000" w:sz="6" w:space="0"/>
              <w:bottom w:val="single" w:color="000000" w:sz="6"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液氮洗解吸气</w:t>
            </w:r>
          </w:p>
        </w:tc>
        <w:tc>
          <w:tcPr>
            <w:tcW w:w="1236" w:type="pct"/>
            <w:vMerge w:val="continue"/>
            <w:tcBorders>
              <w:top w:val="single" w:color="000000" w:sz="6" w:space="0"/>
              <w:bottom w:val="single" w:color="000000" w:sz="6" w:space="0"/>
            </w:tcBorders>
            <w:vAlign w:val="center"/>
          </w:tcPr>
          <w:p>
            <w:pPr>
              <w:spacing w:line="300" w:lineRule="exact"/>
              <w:rPr>
                <w:rFonts w:hint="eastAsia" w:ascii="宋体" w:hAnsi="宋体" w:eastAsia="宋体" w:cs="宋体"/>
                <w:sz w:val="21"/>
                <w:szCs w:val="21"/>
              </w:rPr>
            </w:pPr>
          </w:p>
        </w:tc>
        <w:tc>
          <w:tcPr>
            <w:tcW w:w="1186" w:type="pct"/>
            <w:vMerge w:val="continue"/>
            <w:tcBorders>
              <w:top w:val="single" w:color="000000" w:sz="6" w:space="0"/>
              <w:bottom w:val="single" w:color="000000" w:sz="6" w:space="0"/>
              <w:right w:val="single" w:color="auto" w:sz="4" w:space="0"/>
            </w:tcBorders>
            <w:vAlign w:val="center"/>
          </w:tcPr>
          <w:p>
            <w:pPr>
              <w:spacing w:line="300" w:lineRule="exact"/>
              <w:rPr>
                <w:rFonts w:hint="eastAsia" w:ascii="宋体" w:hAnsi="宋体" w:eastAsia="宋体" w:cs="宋体"/>
                <w:sz w:val="21"/>
                <w:szCs w:val="21"/>
              </w:rPr>
            </w:pPr>
          </w:p>
        </w:tc>
        <w:tc>
          <w:tcPr>
            <w:tcW w:w="735" w:type="pct"/>
            <w:vMerge w:val="continue"/>
            <w:tcBorders>
              <w:top w:val="single" w:color="000000" w:sz="6" w:space="0"/>
              <w:left w:val="single" w:color="auto" w:sz="4" w:space="0"/>
              <w:bottom w:val="single" w:color="000000" w:sz="6" w:space="0"/>
              <w:right w:val="single" w:color="auto" w:sz="4" w:space="0"/>
            </w:tcBorders>
            <w:vAlign w:val="center"/>
          </w:tcPr>
          <w:p>
            <w:pPr>
              <w:spacing w:line="300" w:lineRule="exact"/>
              <w:jc w:val="center"/>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150" w:hRule="atLeast"/>
          <w:jc w:val="center"/>
        </w:trPr>
        <w:tc>
          <w:tcPr>
            <w:tcW w:w="677" w:type="pct"/>
            <w:vMerge w:val="continue"/>
            <w:tcBorders>
              <w:top w:val="single" w:color="000000" w:sz="6" w:space="0"/>
              <w:left w:val="single" w:color="000000" w:sz="6" w:space="0"/>
              <w:bottom w:val="single" w:color="auto" w:sz="4" w:space="0"/>
            </w:tcBorders>
            <w:vAlign w:val="center"/>
          </w:tcPr>
          <w:p>
            <w:pPr>
              <w:spacing w:line="300" w:lineRule="exact"/>
              <w:jc w:val="center"/>
              <w:rPr>
                <w:rFonts w:hint="eastAsia" w:ascii="宋体" w:hAnsi="宋体" w:eastAsia="宋体" w:cs="宋体"/>
                <w:b/>
                <w:sz w:val="21"/>
                <w:szCs w:val="21"/>
              </w:rPr>
            </w:pPr>
          </w:p>
        </w:tc>
        <w:tc>
          <w:tcPr>
            <w:tcW w:w="1164" w:type="pct"/>
            <w:tcBorders>
              <w:top w:val="single" w:color="000000" w:sz="6" w:space="0"/>
              <w:bottom w:val="single" w:color="auto" w:sz="4"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非正常工况废气</w:t>
            </w:r>
          </w:p>
        </w:tc>
        <w:tc>
          <w:tcPr>
            <w:tcW w:w="1236" w:type="pct"/>
            <w:vMerge w:val="continue"/>
            <w:tcBorders>
              <w:top w:val="single" w:color="000000" w:sz="6" w:space="0"/>
              <w:bottom w:val="single" w:color="auto" w:sz="4" w:space="0"/>
            </w:tcBorders>
            <w:vAlign w:val="center"/>
          </w:tcPr>
          <w:p>
            <w:pPr>
              <w:spacing w:line="300" w:lineRule="exact"/>
              <w:rPr>
                <w:rFonts w:hint="eastAsia" w:ascii="宋体" w:hAnsi="宋体" w:eastAsia="宋体" w:cs="宋体"/>
                <w:sz w:val="21"/>
                <w:szCs w:val="21"/>
              </w:rPr>
            </w:pPr>
          </w:p>
        </w:tc>
        <w:tc>
          <w:tcPr>
            <w:tcW w:w="1186" w:type="pct"/>
            <w:vMerge w:val="continue"/>
            <w:tcBorders>
              <w:top w:val="single" w:color="000000" w:sz="6" w:space="0"/>
              <w:bottom w:val="single" w:color="auto" w:sz="4" w:space="0"/>
              <w:right w:val="single" w:color="auto" w:sz="4" w:space="0"/>
            </w:tcBorders>
            <w:vAlign w:val="center"/>
          </w:tcPr>
          <w:p>
            <w:pPr>
              <w:spacing w:line="300" w:lineRule="exact"/>
              <w:rPr>
                <w:rFonts w:hint="eastAsia" w:ascii="宋体" w:hAnsi="宋体" w:eastAsia="宋体" w:cs="宋体"/>
                <w:sz w:val="21"/>
                <w:szCs w:val="21"/>
              </w:rPr>
            </w:pPr>
          </w:p>
        </w:tc>
        <w:tc>
          <w:tcPr>
            <w:tcW w:w="735" w:type="pct"/>
            <w:vMerge w:val="continue"/>
            <w:tcBorders>
              <w:top w:val="single" w:color="000000" w:sz="6" w:space="0"/>
              <w:left w:val="single" w:color="auto" w:sz="4" w:space="0"/>
              <w:bottom w:val="single" w:color="auto" w:sz="4" w:space="0"/>
              <w:right w:val="single" w:color="auto" w:sz="4" w:space="0"/>
            </w:tcBorders>
            <w:vAlign w:val="center"/>
          </w:tcPr>
          <w:p>
            <w:pPr>
              <w:spacing w:line="300" w:lineRule="exact"/>
              <w:jc w:val="center"/>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105" w:hRule="atLeast"/>
          <w:jc w:val="center"/>
        </w:trPr>
        <w:tc>
          <w:tcPr>
            <w:tcW w:w="677" w:type="pct"/>
            <w:vMerge w:val="restart"/>
            <w:tcBorders>
              <w:top w:val="single" w:color="auto" w:sz="4" w:space="0"/>
              <w:left w:val="single" w:color="000000" w:sz="6" w:space="0"/>
            </w:tcBorders>
            <w:vAlign w:val="center"/>
          </w:tcPr>
          <w:p>
            <w:pPr>
              <w:spacing w:line="300" w:lineRule="exact"/>
              <w:jc w:val="center"/>
              <w:rPr>
                <w:rFonts w:hint="eastAsia" w:ascii="宋体" w:hAnsi="宋体" w:eastAsia="宋体" w:cs="宋体"/>
                <w:b/>
                <w:sz w:val="21"/>
                <w:szCs w:val="21"/>
              </w:rPr>
            </w:pPr>
            <w:r>
              <w:rPr>
                <w:rFonts w:hint="eastAsia" w:ascii="宋体" w:hAnsi="宋体" w:eastAsia="宋体" w:cs="宋体"/>
                <w:b/>
                <w:sz w:val="21"/>
                <w:szCs w:val="21"/>
              </w:rPr>
              <w:t>煤储运</w:t>
            </w:r>
          </w:p>
        </w:tc>
        <w:tc>
          <w:tcPr>
            <w:tcW w:w="1164" w:type="pct"/>
            <w:tcBorders>
              <w:top w:val="single" w:color="auto" w:sz="4" w:space="0"/>
              <w:bottom w:val="single" w:color="auto" w:sz="4"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煤贮运筒仓尾气</w:t>
            </w:r>
          </w:p>
        </w:tc>
        <w:tc>
          <w:tcPr>
            <w:tcW w:w="1236" w:type="pct"/>
            <w:tcBorders>
              <w:top w:val="single" w:color="auto" w:sz="4" w:space="0"/>
              <w:bottom w:val="single" w:color="auto" w:sz="4"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袋式除尘器，40米高空排放</w:t>
            </w:r>
          </w:p>
        </w:tc>
        <w:tc>
          <w:tcPr>
            <w:tcW w:w="1186" w:type="pct"/>
            <w:tcBorders>
              <w:top w:val="single" w:color="auto" w:sz="4" w:space="0"/>
              <w:bottom w:val="single" w:color="auto" w:sz="4" w:space="0"/>
              <w:right w:val="single" w:color="auto" w:sz="4" w:space="0"/>
            </w:tcBorders>
            <w:vAlign w:val="center"/>
          </w:tcPr>
          <w:p>
            <w:pPr>
              <w:widowControl/>
              <w:spacing w:line="300" w:lineRule="exact"/>
              <w:rPr>
                <w:rFonts w:hint="eastAsia" w:ascii="宋体" w:hAnsi="宋体" w:eastAsia="宋体" w:cs="宋体"/>
                <w:sz w:val="21"/>
                <w:szCs w:val="21"/>
              </w:rPr>
            </w:pPr>
            <w:r>
              <w:rPr>
                <w:rFonts w:hint="eastAsia" w:ascii="宋体" w:hAnsi="宋体" w:eastAsia="宋体" w:cs="宋体"/>
                <w:sz w:val="21"/>
                <w:szCs w:val="21"/>
              </w:rPr>
              <w:t>已按照要求安装完成</w:t>
            </w:r>
          </w:p>
        </w:tc>
        <w:tc>
          <w:tcPr>
            <w:tcW w:w="735" w:type="pc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eastAsia" w:ascii="宋体" w:hAnsi="宋体" w:eastAsia="宋体" w:cs="宋体"/>
                <w:sz w:val="21"/>
                <w:szCs w:val="21"/>
              </w:rPr>
            </w:pPr>
            <w:r>
              <w:rPr>
                <w:rFonts w:hint="eastAsia" w:ascii="宋体" w:hAnsi="宋体" w:eastAsia="宋体" w:cs="宋体"/>
                <w:sz w:val="21"/>
                <w:szCs w:val="21"/>
              </w:rPr>
              <w:t>运行正常 达标排放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150" w:hRule="atLeast"/>
          <w:jc w:val="center"/>
        </w:trPr>
        <w:tc>
          <w:tcPr>
            <w:tcW w:w="677" w:type="pct"/>
            <w:vMerge w:val="continue"/>
            <w:tcBorders>
              <w:left w:val="single" w:color="000000" w:sz="6" w:space="0"/>
            </w:tcBorders>
            <w:vAlign w:val="center"/>
          </w:tcPr>
          <w:p>
            <w:pPr>
              <w:spacing w:line="300" w:lineRule="exact"/>
              <w:jc w:val="center"/>
              <w:rPr>
                <w:rFonts w:hint="eastAsia" w:ascii="宋体" w:hAnsi="宋体" w:eastAsia="宋体" w:cs="宋体"/>
                <w:b/>
                <w:sz w:val="21"/>
                <w:szCs w:val="21"/>
              </w:rPr>
            </w:pPr>
          </w:p>
        </w:tc>
        <w:tc>
          <w:tcPr>
            <w:tcW w:w="1164" w:type="pct"/>
            <w:tcBorders>
              <w:top w:val="single" w:color="auto" w:sz="4" w:space="0"/>
              <w:bottom w:val="single" w:color="auto" w:sz="4"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煤露天堆场、卸煤库、煤干燥棚</w:t>
            </w:r>
          </w:p>
        </w:tc>
        <w:tc>
          <w:tcPr>
            <w:tcW w:w="1236" w:type="pct"/>
            <w:tcBorders>
              <w:top w:val="single" w:color="auto" w:sz="4" w:space="0"/>
              <w:bottom w:val="single" w:color="auto" w:sz="4" w:space="0"/>
            </w:tcBorders>
            <w:vAlign w:val="center"/>
          </w:tcPr>
          <w:p>
            <w:pPr>
              <w:spacing w:line="300" w:lineRule="exact"/>
              <w:rPr>
                <w:rFonts w:hint="eastAsia" w:ascii="宋体" w:hAnsi="宋体" w:eastAsia="宋体" w:cs="宋体"/>
                <w:sz w:val="21"/>
                <w:szCs w:val="21"/>
              </w:rPr>
            </w:pPr>
            <w:r>
              <w:rPr>
                <w:rFonts w:hint="eastAsia" w:ascii="宋体" w:hAnsi="宋体" w:eastAsia="宋体" w:cs="宋体"/>
                <w:sz w:val="21"/>
                <w:szCs w:val="21"/>
              </w:rPr>
              <w:t>防尘、抑尘</w:t>
            </w:r>
          </w:p>
        </w:tc>
        <w:tc>
          <w:tcPr>
            <w:tcW w:w="1186" w:type="pct"/>
            <w:tcBorders>
              <w:top w:val="single" w:color="auto" w:sz="4" w:space="0"/>
              <w:bottom w:val="single" w:color="auto" w:sz="4" w:space="0"/>
              <w:right w:val="single" w:color="auto" w:sz="4" w:space="0"/>
            </w:tcBorders>
            <w:vAlign w:val="center"/>
          </w:tcPr>
          <w:p>
            <w:pPr>
              <w:spacing w:line="300" w:lineRule="exact"/>
              <w:rPr>
                <w:rFonts w:hint="eastAsia" w:ascii="宋体" w:hAnsi="宋体" w:eastAsia="宋体" w:cs="宋体"/>
                <w:sz w:val="21"/>
                <w:szCs w:val="21"/>
              </w:rPr>
            </w:pPr>
            <w:r>
              <w:rPr>
                <w:rFonts w:hint="eastAsia" w:ascii="宋体" w:hAnsi="宋体" w:cs="宋体"/>
                <w:sz w:val="21"/>
                <w:szCs w:val="21"/>
                <w:lang w:val="en-US" w:eastAsia="zh-CN"/>
              </w:rPr>
              <w:t>密闭储存场，安装有喷淋降尘</w:t>
            </w:r>
            <w:r>
              <w:rPr>
                <w:rFonts w:hint="eastAsia" w:ascii="宋体" w:hAnsi="宋体" w:eastAsia="宋体" w:cs="宋体"/>
                <w:sz w:val="21"/>
                <w:szCs w:val="21"/>
              </w:rPr>
              <w:t xml:space="preserve"> </w:t>
            </w:r>
          </w:p>
        </w:tc>
        <w:tc>
          <w:tcPr>
            <w:tcW w:w="735" w:type="pct"/>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防尘效果明显</w:t>
            </w:r>
          </w:p>
        </w:tc>
      </w:tr>
    </w:tbl>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（2）废水处理设施一览表</w:t>
      </w:r>
    </w:p>
    <w:tbl>
      <w:tblPr>
        <w:tblStyle w:val="21"/>
        <w:tblpPr w:leftFromText="180" w:rightFromText="180" w:vertAnchor="text" w:horzAnchor="page" w:tblpX="975" w:tblpY="186"/>
        <w:tblOverlap w:val="never"/>
        <w:tblW w:w="9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4"/>
        <w:gridCol w:w="3969"/>
        <w:gridCol w:w="2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4"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sz w:val="21"/>
                <w:szCs w:val="21"/>
              </w:rPr>
            </w:pPr>
            <w:r>
              <w:rPr>
                <w:rFonts w:hint="eastAsia" w:ascii="宋体" w:hAnsi="宋体" w:eastAsia="宋体" w:cs="宋体"/>
                <w:b/>
                <w:sz w:val="21"/>
                <w:szCs w:val="21"/>
              </w:rPr>
              <w:t>环保设施</w:t>
            </w:r>
          </w:p>
        </w:tc>
        <w:tc>
          <w:tcPr>
            <w:tcW w:w="3969" w:type="dxa"/>
          </w:tcPr>
          <w:p>
            <w:pPr>
              <w:spacing w:line="300" w:lineRule="exact"/>
              <w:rPr>
                <w:rFonts w:hint="eastAsia" w:ascii="宋体" w:hAnsi="宋体" w:eastAsia="宋体" w:cs="宋体"/>
                <w:b/>
                <w:sz w:val="21"/>
                <w:szCs w:val="21"/>
              </w:rPr>
            </w:pPr>
            <w:r>
              <w:rPr>
                <w:rFonts w:hint="eastAsia" w:ascii="宋体" w:hAnsi="宋体" w:eastAsia="宋体" w:cs="宋体"/>
                <w:b/>
                <w:sz w:val="21"/>
                <w:szCs w:val="21"/>
              </w:rPr>
              <w:t>建设情况</w:t>
            </w:r>
          </w:p>
        </w:tc>
        <w:tc>
          <w:tcPr>
            <w:tcW w:w="2558" w:type="dxa"/>
            <w:vAlign w:val="center"/>
          </w:tcPr>
          <w:p>
            <w:pPr>
              <w:spacing w:line="300" w:lineRule="exact"/>
              <w:rPr>
                <w:rFonts w:hint="eastAsia" w:ascii="宋体" w:hAnsi="宋体" w:eastAsia="宋体" w:cs="宋体"/>
                <w:b/>
                <w:sz w:val="21"/>
                <w:szCs w:val="21"/>
              </w:rPr>
            </w:pPr>
            <w:r>
              <w:rPr>
                <w:rFonts w:hint="eastAsia" w:ascii="宋体" w:hAnsi="宋体" w:eastAsia="宋体" w:cs="宋体"/>
                <w:b/>
                <w:sz w:val="21"/>
                <w:szCs w:val="21"/>
              </w:rPr>
              <w:t>运行情况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4" w:type="dxa"/>
          </w:tcPr>
          <w:p>
            <w:pPr>
              <w:spacing w:line="300" w:lineRule="exact"/>
              <w:rPr>
                <w:rFonts w:hint="eastAsia" w:ascii="宋体" w:hAnsi="宋体" w:eastAsia="宋体" w:cs="宋体"/>
                <w:b w:val="0"/>
                <w:bCs/>
                <w:sz w:val="21"/>
                <w:szCs w:val="21"/>
              </w:rPr>
            </w:pPr>
            <w:r>
              <w:rPr>
                <w:rFonts w:hint="eastAsia" w:ascii="宋体" w:hAnsi="宋体" w:eastAsia="宋体" w:cs="宋体"/>
                <w:b w:val="0"/>
                <w:bCs/>
                <w:sz w:val="21"/>
                <w:szCs w:val="21"/>
              </w:rPr>
              <w:t>清污分流、污污分流、雨污分流措施，污水排放口，雨水排放口。</w:t>
            </w:r>
          </w:p>
        </w:tc>
        <w:tc>
          <w:tcPr>
            <w:tcW w:w="3969" w:type="dxa"/>
          </w:tcPr>
          <w:p>
            <w:pPr>
              <w:spacing w:line="300" w:lineRule="exact"/>
              <w:rPr>
                <w:rFonts w:hint="eastAsia" w:ascii="宋体" w:hAnsi="宋体" w:eastAsia="宋体" w:cs="宋体"/>
                <w:b w:val="0"/>
                <w:bCs/>
                <w:sz w:val="21"/>
                <w:szCs w:val="21"/>
              </w:rPr>
            </w:pPr>
            <w:r>
              <w:rPr>
                <w:rFonts w:hint="eastAsia" w:ascii="宋体" w:hAnsi="宋体" w:eastAsia="宋体" w:cs="宋体"/>
                <w:b w:val="0"/>
                <w:bCs/>
                <w:sz w:val="21"/>
                <w:szCs w:val="21"/>
              </w:rPr>
              <w:t>厂区排水管线有清水、污水、雨水，实现清污分流、污污分流、雨污分流</w:t>
            </w:r>
          </w:p>
        </w:tc>
        <w:tc>
          <w:tcPr>
            <w:tcW w:w="2558" w:type="dxa"/>
            <w:vAlign w:val="center"/>
          </w:tcPr>
          <w:p>
            <w:pPr>
              <w:spacing w:line="300" w:lineRule="exact"/>
              <w:rPr>
                <w:rFonts w:hint="eastAsia" w:ascii="宋体" w:hAnsi="宋体" w:eastAsia="宋体" w:cs="宋体"/>
                <w:b w:val="0"/>
                <w:bCs/>
                <w:sz w:val="21"/>
                <w:szCs w:val="21"/>
              </w:rPr>
            </w:pPr>
            <w:r>
              <w:rPr>
                <w:rFonts w:hint="eastAsia" w:ascii="宋体" w:hAnsi="宋体" w:eastAsia="宋体" w:cs="宋体"/>
                <w:b w:val="0"/>
                <w:bCs/>
                <w:sz w:val="21"/>
                <w:szCs w:val="21"/>
              </w:rPr>
              <w:t>各管线分流，运行正常 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trPr>
        <w:tc>
          <w:tcPr>
            <w:tcW w:w="3414" w:type="dxa"/>
          </w:tcPr>
          <w:p>
            <w:pPr>
              <w:spacing w:line="300" w:lineRule="exact"/>
              <w:rPr>
                <w:rFonts w:hint="eastAsia" w:ascii="宋体" w:hAnsi="宋体" w:eastAsia="宋体" w:cs="宋体"/>
                <w:b w:val="0"/>
                <w:bCs/>
                <w:sz w:val="21"/>
                <w:szCs w:val="21"/>
              </w:rPr>
            </w:pPr>
            <w:r>
              <w:rPr>
                <w:rFonts w:hint="eastAsia" w:ascii="宋体" w:hAnsi="宋体" w:eastAsia="宋体" w:cs="宋体"/>
                <w:b w:val="0"/>
                <w:bCs/>
                <w:sz w:val="21"/>
                <w:szCs w:val="21"/>
              </w:rPr>
              <w:t>终端废水处理装2400m3/d，IMC+BAF；处理后达标排放COD41mg/l、氨氮3.22mg/l、氰化物0.072mg/l、硫化物0.085mg/l。</w:t>
            </w:r>
          </w:p>
        </w:tc>
        <w:tc>
          <w:tcPr>
            <w:tcW w:w="3969" w:type="dxa"/>
          </w:tcPr>
          <w:p>
            <w:pPr>
              <w:spacing w:line="300" w:lineRule="exact"/>
              <w:rPr>
                <w:rFonts w:hint="default" w:ascii="宋体" w:hAnsi="宋体" w:eastAsia="宋体" w:cs="宋体"/>
                <w:b w:val="0"/>
                <w:bCs/>
                <w:sz w:val="21"/>
                <w:szCs w:val="21"/>
                <w:lang w:val="en-US" w:eastAsia="zh-CN"/>
              </w:rPr>
            </w:pPr>
            <w:r>
              <w:rPr>
                <w:rFonts w:hint="eastAsia" w:ascii="宋体" w:hAnsi="宋体" w:eastAsia="宋体" w:cs="宋体"/>
                <w:b w:val="0"/>
                <w:bCs/>
                <w:sz w:val="21"/>
                <w:szCs w:val="21"/>
              </w:rPr>
              <w:t>在建设2400m3/d，IMC+BAF污水处理基础上</w:t>
            </w:r>
            <w:r>
              <w:rPr>
                <w:rFonts w:hint="eastAsia" w:ascii="宋体" w:hAnsi="宋体" w:cs="宋体"/>
                <w:b w:val="0"/>
                <w:bCs/>
                <w:sz w:val="21"/>
                <w:szCs w:val="21"/>
                <w:lang w:eastAsia="zh-CN"/>
              </w:rPr>
              <w:t>，</w:t>
            </w:r>
            <w:r>
              <w:rPr>
                <w:rFonts w:hint="eastAsia" w:ascii="宋体" w:hAnsi="宋体" w:cs="宋体"/>
                <w:b w:val="0"/>
                <w:bCs/>
                <w:sz w:val="21"/>
                <w:szCs w:val="21"/>
                <w:lang w:val="en-US" w:eastAsia="zh-CN"/>
              </w:rPr>
              <w:t>增加脱磷脱氮系统，去除总磷、总氮。</w:t>
            </w:r>
          </w:p>
          <w:p>
            <w:pPr>
              <w:spacing w:line="300" w:lineRule="exact"/>
              <w:rPr>
                <w:rFonts w:hint="eastAsia" w:ascii="宋体" w:hAnsi="宋体" w:eastAsia="宋体" w:cs="宋体"/>
                <w:b w:val="0"/>
                <w:bCs/>
                <w:sz w:val="21"/>
                <w:szCs w:val="21"/>
              </w:rPr>
            </w:pPr>
          </w:p>
        </w:tc>
        <w:tc>
          <w:tcPr>
            <w:tcW w:w="2558" w:type="dxa"/>
            <w:vAlign w:val="center"/>
          </w:tcPr>
          <w:p>
            <w:pPr>
              <w:spacing w:line="300" w:lineRule="exact"/>
              <w:rPr>
                <w:rFonts w:hint="eastAsia" w:ascii="宋体" w:hAnsi="宋体" w:eastAsia="宋体" w:cs="宋体"/>
                <w:b w:val="0"/>
                <w:bCs/>
                <w:sz w:val="21"/>
                <w:szCs w:val="21"/>
              </w:rPr>
            </w:pPr>
            <w:r>
              <w:rPr>
                <w:rFonts w:hint="eastAsia" w:ascii="宋体" w:hAnsi="宋体" w:eastAsia="宋体" w:cs="宋体"/>
                <w:b w:val="0"/>
                <w:bCs/>
                <w:sz w:val="21"/>
                <w:szCs w:val="21"/>
              </w:rPr>
              <w:t>运行正常运行正常 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4" w:type="dxa"/>
          </w:tcPr>
          <w:p>
            <w:pPr>
              <w:spacing w:line="300" w:lineRule="exact"/>
              <w:rPr>
                <w:rFonts w:hint="eastAsia" w:ascii="宋体" w:hAnsi="宋体" w:eastAsia="宋体" w:cs="宋体"/>
                <w:b w:val="0"/>
                <w:bCs/>
                <w:sz w:val="21"/>
                <w:szCs w:val="21"/>
              </w:rPr>
            </w:pPr>
            <w:r>
              <w:rPr>
                <w:rFonts w:hint="eastAsia" w:ascii="宋体" w:hAnsi="宋体" w:eastAsia="宋体" w:cs="宋体"/>
                <w:b w:val="0"/>
                <w:bCs/>
                <w:sz w:val="21"/>
                <w:szCs w:val="21"/>
              </w:rPr>
              <w:t>全厂设置一个规范化废水排放口，安装流量和COD、氨氮在线监测装置。联网。</w:t>
            </w:r>
          </w:p>
        </w:tc>
        <w:tc>
          <w:tcPr>
            <w:tcW w:w="3969" w:type="dxa"/>
          </w:tcPr>
          <w:p>
            <w:pPr>
              <w:spacing w:line="300" w:lineRule="exact"/>
              <w:rPr>
                <w:rFonts w:hint="eastAsia" w:ascii="宋体" w:hAnsi="宋体" w:eastAsia="宋体" w:cs="宋体"/>
                <w:b w:val="0"/>
                <w:bCs/>
                <w:sz w:val="21"/>
                <w:szCs w:val="21"/>
              </w:rPr>
            </w:pPr>
            <w:r>
              <w:rPr>
                <w:rFonts w:hint="eastAsia" w:ascii="宋体" w:hAnsi="宋体" w:eastAsia="宋体" w:cs="宋体"/>
                <w:b w:val="0"/>
                <w:bCs/>
                <w:sz w:val="21"/>
                <w:szCs w:val="21"/>
              </w:rPr>
              <w:t>已按照要求将全部监测设备安装调试完毕，已与省环保厅、县环保局监控中心联网运行。</w:t>
            </w:r>
          </w:p>
        </w:tc>
        <w:tc>
          <w:tcPr>
            <w:tcW w:w="2558" w:type="dxa"/>
            <w:vAlign w:val="center"/>
          </w:tcPr>
          <w:p>
            <w:pPr>
              <w:spacing w:line="300" w:lineRule="exact"/>
              <w:rPr>
                <w:rFonts w:hint="eastAsia" w:ascii="宋体" w:hAnsi="宋体" w:eastAsia="宋体" w:cs="宋体"/>
                <w:b w:val="0"/>
                <w:bCs/>
                <w:sz w:val="21"/>
                <w:szCs w:val="21"/>
              </w:rPr>
            </w:pPr>
            <w:r>
              <w:rPr>
                <w:rFonts w:hint="eastAsia" w:ascii="宋体" w:hAnsi="宋体" w:eastAsia="宋体" w:cs="宋体"/>
                <w:b w:val="0"/>
                <w:bCs/>
                <w:sz w:val="21"/>
                <w:szCs w:val="21"/>
              </w:rPr>
              <w:t>设备运行正常 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4" w:type="dxa"/>
            <w:vAlign w:val="top"/>
          </w:tcPr>
          <w:p>
            <w:pPr>
              <w:spacing w:line="300" w:lineRule="exact"/>
              <w:rPr>
                <w:rFonts w:hint="eastAsia" w:ascii="宋体" w:hAnsi="宋体" w:eastAsia="宋体" w:cs="宋体"/>
                <w:b w:val="0"/>
                <w:bCs/>
                <w:sz w:val="21"/>
                <w:szCs w:val="21"/>
                <w:lang w:val="en-US" w:eastAsia="zh-CN"/>
              </w:rPr>
            </w:pPr>
            <w:r>
              <w:rPr>
                <w:rFonts w:hint="eastAsia" w:ascii="宋体" w:hAnsi="宋体" w:eastAsia="宋体" w:cs="宋体"/>
                <w:b w:val="0"/>
                <w:bCs/>
                <w:sz w:val="21"/>
                <w:szCs w:val="21"/>
              </w:rPr>
              <w:t>制气、净化装置区建一个事故废水储池5000立方米。</w:t>
            </w:r>
          </w:p>
        </w:tc>
        <w:tc>
          <w:tcPr>
            <w:tcW w:w="3969" w:type="dxa"/>
            <w:vAlign w:val="top"/>
          </w:tcPr>
          <w:p>
            <w:pPr>
              <w:spacing w:line="300" w:lineRule="exact"/>
              <w:rPr>
                <w:rFonts w:hint="eastAsia" w:ascii="宋体" w:hAnsi="宋体" w:eastAsia="宋体" w:cs="宋体"/>
                <w:b w:val="0"/>
                <w:bCs/>
                <w:sz w:val="21"/>
                <w:szCs w:val="21"/>
                <w:lang w:val="en-US" w:eastAsia="zh-CN"/>
              </w:rPr>
            </w:pPr>
            <w:r>
              <w:rPr>
                <w:rFonts w:hint="eastAsia" w:ascii="宋体" w:hAnsi="宋体" w:eastAsia="宋体" w:cs="宋体"/>
                <w:b w:val="0"/>
                <w:bCs/>
                <w:sz w:val="21"/>
                <w:szCs w:val="21"/>
              </w:rPr>
              <w:t>已建设完成并投用（安阳盈德气体有限公司）</w:t>
            </w:r>
          </w:p>
        </w:tc>
        <w:tc>
          <w:tcPr>
            <w:tcW w:w="2558" w:type="dxa"/>
            <w:vAlign w:val="top"/>
          </w:tcPr>
          <w:p>
            <w:pPr>
              <w:spacing w:line="300" w:lineRule="exact"/>
              <w:rPr>
                <w:rFonts w:hint="eastAsia" w:ascii="宋体" w:hAnsi="宋体" w:eastAsia="宋体" w:cs="宋体"/>
                <w:b w:val="0"/>
                <w:bCs/>
                <w:sz w:val="21"/>
                <w:szCs w:val="21"/>
                <w:lang w:val="en-US" w:eastAsia="zh-CN"/>
              </w:rPr>
            </w:pPr>
            <w:r>
              <w:rPr>
                <w:rFonts w:hint="eastAsia" w:ascii="宋体" w:hAnsi="宋体" w:eastAsia="宋体" w:cs="宋体"/>
                <w:b w:val="0"/>
                <w:bCs/>
                <w:sz w:val="21"/>
                <w:szCs w:val="21"/>
              </w:rPr>
              <w:t>未发生环保事故，设计能满足要。</w:t>
            </w:r>
          </w:p>
        </w:tc>
      </w:tr>
    </w:tbl>
    <w:p>
      <w:pPr>
        <w:pStyle w:val="11"/>
        <w:rPr>
          <w:rFonts w:hint="default"/>
          <w:lang w:val="en-US" w:eastAsia="zh-CN"/>
        </w:rPr>
      </w:pPr>
    </w:p>
    <w:tbl>
      <w:tblPr>
        <w:tblStyle w:val="21"/>
        <w:tblpPr w:leftFromText="180" w:rightFromText="180" w:vertAnchor="text" w:horzAnchor="page" w:tblpX="936" w:tblpY="937"/>
        <w:tblOverlap w:val="never"/>
        <w:tblW w:w="10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28"/>
        <w:gridCol w:w="3685"/>
        <w:gridCol w:w="2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8"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环保设施</w:t>
            </w:r>
          </w:p>
        </w:tc>
        <w:tc>
          <w:tcPr>
            <w:tcW w:w="3685"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建设情况</w:t>
            </w:r>
          </w:p>
        </w:tc>
        <w:tc>
          <w:tcPr>
            <w:tcW w:w="2949"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使用情况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3428"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废催化剂等危险废物的三防储存场所</w:t>
            </w:r>
          </w:p>
        </w:tc>
        <w:tc>
          <w:tcPr>
            <w:tcW w:w="3685"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cs="宋体"/>
                <w:b w:val="0"/>
                <w:bCs/>
                <w:sz w:val="21"/>
                <w:szCs w:val="21"/>
                <w:lang w:val="en-US" w:eastAsia="zh-CN"/>
              </w:rPr>
              <w:t>建设一座规范的危废储存场所，</w:t>
            </w:r>
            <w:r>
              <w:rPr>
                <w:rFonts w:hint="eastAsia" w:ascii="宋体" w:hAnsi="宋体" w:eastAsia="宋体" w:cs="宋体"/>
                <w:b w:val="0"/>
                <w:bCs/>
                <w:sz w:val="21"/>
                <w:szCs w:val="21"/>
              </w:rPr>
              <w:t>废催化剂由厂家直接回收，已签定回收协议</w:t>
            </w:r>
          </w:p>
        </w:tc>
        <w:tc>
          <w:tcPr>
            <w:tcW w:w="2949"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正常使用中，催化剂未到使用期限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3428"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污水处理污泥</w:t>
            </w:r>
          </w:p>
        </w:tc>
        <w:tc>
          <w:tcPr>
            <w:tcW w:w="3685"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安阳盈德气体有限公司建设一个污泥临时处置场所，污泥运至中盈化肥煤储运掺入煤中送至气化炉焚烧。</w:t>
            </w:r>
          </w:p>
        </w:tc>
        <w:tc>
          <w:tcPr>
            <w:tcW w:w="2949"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已开始执行，并制订了污泥处置管理规定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3428"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气化炉渣</w:t>
            </w:r>
          </w:p>
        </w:tc>
        <w:tc>
          <w:tcPr>
            <w:tcW w:w="3685"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default"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建设一座具备三防功能的灰渣储存仓库，灰渣外售做建材</w:t>
            </w:r>
          </w:p>
        </w:tc>
        <w:tc>
          <w:tcPr>
            <w:tcW w:w="2949"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已签订煤渣外售合同销售</w:t>
            </w:r>
          </w:p>
        </w:tc>
      </w:tr>
    </w:tbl>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（3）危废/固体废物设施一览表</w:t>
      </w:r>
    </w:p>
    <w:p>
      <w:pPr>
        <w:pStyle w:val="15"/>
        <w:pBdr>
          <w:left w:val="none" w:color="auto" w:sz="0" w:space="0"/>
        </w:pBdr>
        <w:jc w:val="left"/>
        <w:rPr>
          <w:rFonts w:hint="eastAsia" w:ascii="仿宋" w:hAnsi="仿宋" w:eastAsia="仿宋" w:cs="仿宋"/>
          <w:sz w:val="32"/>
          <w:szCs w:val="32"/>
        </w:rPr>
      </w:pP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（4）噪声防治措施</w:t>
      </w:r>
    </w:p>
    <w:tbl>
      <w:tblPr>
        <w:tblStyle w:val="21"/>
        <w:tblpPr w:leftFromText="180" w:rightFromText="180" w:vertAnchor="text" w:horzAnchor="page" w:tblpX="1289" w:tblpY="404"/>
        <w:tblOverlap w:val="never"/>
        <w:tblW w:w="9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6"/>
        <w:gridCol w:w="3685"/>
        <w:gridCol w:w="3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6"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环保设施</w:t>
            </w:r>
          </w:p>
        </w:tc>
        <w:tc>
          <w:tcPr>
            <w:tcW w:w="3685"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建设情况</w:t>
            </w:r>
          </w:p>
        </w:tc>
        <w:tc>
          <w:tcPr>
            <w:tcW w:w="3181" w:type="dxa"/>
            <w:vAlign w:val="center"/>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运行情况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2816"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隔声降噪</w:t>
            </w:r>
          </w:p>
        </w:tc>
        <w:tc>
          <w:tcPr>
            <w:tcW w:w="3685"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厂房已安装隔声板，设备基座防震。</w:t>
            </w:r>
          </w:p>
        </w:tc>
        <w:tc>
          <w:tcPr>
            <w:tcW w:w="3181" w:type="dxa"/>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after="0" w:line="360" w:lineRule="auto"/>
              <w:ind w:firstLine="0"/>
              <w:jc w:val="both"/>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厂区对外噪声影响在环保要求控制范围之内，降噪明显</w:t>
            </w:r>
          </w:p>
        </w:tc>
      </w:tr>
    </w:tbl>
    <w:p>
      <w:pPr>
        <w:pStyle w:val="3"/>
        <w:bidi w:val="0"/>
        <w:rPr>
          <w:rFonts w:hint="eastAsia" w:ascii="仿宋" w:hAnsi="仿宋" w:eastAsia="仿宋" w:cs="仿宋"/>
          <w:sz w:val="32"/>
          <w:szCs w:val="32"/>
          <w:lang w:val="en-US" w:eastAsia="zh-CN"/>
        </w:rPr>
      </w:pPr>
      <w:bookmarkStart w:id="12" w:name="_Toc6531"/>
      <w:r>
        <w:rPr>
          <w:rFonts w:hint="eastAsia" w:ascii="仿宋" w:hAnsi="仿宋" w:eastAsia="仿宋" w:cs="仿宋"/>
          <w:sz w:val="32"/>
          <w:szCs w:val="32"/>
          <w:lang w:val="en-US" w:eastAsia="zh-CN"/>
        </w:rPr>
        <w:t>4 自行监测及结果分析</w:t>
      </w:r>
      <w:bookmarkEnd w:id="12"/>
      <w:bookmarkStart w:id="13" w:name="_Toc9075"/>
    </w:p>
    <w:p>
      <w:pPr>
        <w:pStyle w:val="3"/>
        <w:bidi w:val="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4.1 2020年第二季度自行监测</w:t>
      </w:r>
      <w:bookmarkEnd w:id="13"/>
      <w:r>
        <w:rPr>
          <w:rFonts w:hint="eastAsia" w:ascii="仿宋" w:hAnsi="仿宋" w:eastAsia="仿宋" w:cs="仿宋"/>
          <w:sz w:val="32"/>
          <w:szCs w:val="32"/>
          <w:lang w:val="en-US" w:eastAsia="zh-CN"/>
        </w:rPr>
        <w:t>报告</w:t>
      </w:r>
    </w:p>
    <w:p>
      <w:pPr>
        <w:pStyle w:val="3"/>
        <w:bidi w:val="0"/>
        <w:rPr>
          <w:rFonts w:hint="eastAsia"/>
          <w:lang w:val="en-US" w:eastAsia="zh-CN"/>
        </w:rPr>
      </w:pPr>
      <w:r>
        <w:rPr>
          <w:rFonts w:hint="eastAsia"/>
          <w:lang w:val="en-US" w:eastAsia="zh-CN"/>
        </w:rPr>
        <w:drawing>
          <wp:inline distT="0" distB="0" distL="114300" distR="114300">
            <wp:extent cx="5848350" cy="7334250"/>
            <wp:effectExtent l="0" t="0" r="0" b="0"/>
            <wp:docPr id="29" name="图片 29" descr="1593677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593677537(1)"/>
                    <pic:cNvPicPr>
                      <a:picLocks noChangeAspect="1"/>
                    </pic:cNvPicPr>
                  </pic:nvPicPr>
                  <pic:blipFill>
                    <a:blip r:embed="rId11"/>
                    <a:stretch>
                      <a:fillRect/>
                    </a:stretch>
                  </pic:blipFill>
                  <pic:spPr>
                    <a:xfrm>
                      <a:off x="0" y="0"/>
                      <a:ext cx="5848350" cy="7334250"/>
                    </a:xfrm>
                    <a:prstGeom prst="rect">
                      <a:avLst/>
                    </a:prstGeom>
                  </pic:spPr>
                </pic:pic>
              </a:graphicData>
            </a:graphic>
          </wp:inline>
        </w:drawing>
      </w:r>
    </w:p>
    <w:p>
      <w:pPr>
        <w:rPr>
          <w:rFonts w:hint="eastAsia"/>
          <w:lang w:val="en-US" w:eastAsia="zh-CN"/>
        </w:rPr>
      </w:pPr>
    </w:p>
    <w:p>
      <w:pPr>
        <w:pStyle w:val="2"/>
        <w:rPr>
          <w:rFonts w:hint="eastAsia"/>
          <w:lang w:val="en-US" w:eastAsia="zh-CN"/>
        </w:rPr>
      </w:pPr>
      <w:r>
        <w:rPr>
          <w:rFonts w:hint="eastAsia"/>
          <w:lang w:val="en-US" w:eastAsia="zh-CN"/>
        </w:rPr>
        <w:drawing>
          <wp:inline distT="0" distB="0" distL="114300" distR="114300">
            <wp:extent cx="5705475" cy="7924800"/>
            <wp:effectExtent l="0" t="0" r="9525" b="0"/>
            <wp:docPr id="30" name="图片 30" descr="1593677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93677639(1)"/>
                    <pic:cNvPicPr>
                      <a:picLocks noChangeAspect="1"/>
                    </pic:cNvPicPr>
                  </pic:nvPicPr>
                  <pic:blipFill>
                    <a:blip r:embed="rId12"/>
                    <a:stretch>
                      <a:fillRect/>
                    </a:stretch>
                  </pic:blipFill>
                  <pic:spPr>
                    <a:xfrm>
                      <a:off x="0" y="0"/>
                      <a:ext cx="5705475" cy="7924800"/>
                    </a:xfrm>
                    <a:prstGeom prst="rect">
                      <a:avLst/>
                    </a:prstGeom>
                  </pic:spPr>
                </pic:pic>
              </a:graphicData>
            </a:graphic>
          </wp:inline>
        </w:drawing>
      </w:r>
    </w:p>
    <w:p>
      <w:pPr>
        <w:pStyle w:val="2"/>
        <w:rPr>
          <w:rFonts w:hint="eastAsia"/>
          <w:lang w:val="en-US" w:eastAsia="zh-CN"/>
        </w:rPr>
      </w:pPr>
    </w:p>
    <w:p>
      <w:pPr>
        <w:pStyle w:val="2"/>
        <w:rPr>
          <w:rFonts w:hint="eastAsia"/>
          <w:lang w:val="en-US" w:eastAsia="zh-CN"/>
        </w:rPr>
      </w:pPr>
    </w:p>
    <w:p>
      <w:pPr>
        <w:pStyle w:val="2"/>
        <w:rPr>
          <w:rFonts w:hint="eastAsia"/>
          <w:lang w:val="en-US" w:eastAsia="zh-CN"/>
        </w:rPr>
      </w:pPr>
      <w:r>
        <w:rPr>
          <w:rFonts w:hint="eastAsia"/>
          <w:lang w:val="en-US" w:eastAsia="zh-CN"/>
        </w:rPr>
        <w:drawing>
          <wp:inline distT="0" distB="0" distL="114300" distR="114300">
            <wp:extent cx="5734050" cy="7820025"/>
            <wp:effectExtent l="0" t="0" r="0" b="9525"/>
            <wp:docPr id="31" name="图片 31" descr="1593677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593677661(1)"/>
                    <pic:cNvPicPr>
                      <a:picLocks noChangeAspect="1"/>
                    </pic:cNvPicPr>
                  </pic:nvPicPr>
                  <pic:blipFill>
                    <a:blip r:embed="rId13"/>
                    <a:stretch>
                      <a:fillRect/>
                    </a:stretch>
                  </pic:blipFill>
                  <pic:spPr>
                    <a:xfrm>
                      <a:off x="0" y="0"/>
                      <a:ext cx="5734050" cy="7820025"/>
                    </a:xfrm>
                    <a:prstGeom prst="rect">
                      <a:avLst/>
                    </a:prstGeom>
                  </pic:spPr>
                </pic:pic>
              </a:graphicData>
            </a:graphic>
          </wp:inline>
        </w:drawing>
      </w:r>
    </w:p>
    <w:p>
      <w:pPr>
        <w:pStyle w:val="2"/>
        <w:rPr>
          <w:rFonts w:hint="eastAsia"/>
          <w:lang w:val="en-US" w:eastAsia="zh-CN"/>
        </w:rPr>
      </w:pPr>
      <w:r>
        <w:rPr>
          <w:rFonts w:hint="eastAsia"/>
          <w:lang w:val="en-US" w:eastAsia="zh-CN"/>
        </w:rPr>
        <w:drawing>
          <wp:inline distT="0" distB="0" distL="114300" distR="114300">
            <wp:extent cx="5648325" cy="7943850"/>
            <wp:effectExtent l="0" t="0" r="9525" b="0"/>
            <wp:docPr id="32" name="图片 32" descr="15936776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593677681(1)"/>
                    <pic:cNvPicPr>
                      <a:picLocks noChangeAspect="1"/>
                    </pic:cNvPicPr>
                  </pic:nvPicPr>
                  <pic:blipFill>
                    <a:blip r:embed="rId14"/>
                    <a:stretch>
                      <a:fillRect/>
                    </a:stretch>
                  </pic:blipFill>
                  <pic:spPr>
                    <a:xfrm>
                      <a:off x="0" y="0"/>
                      <a:ext cx="5648325" cy="7943850"/>
                    </a:xfrm>
                    <a:prstGeom prst="rect">
                      <a:avLst/>
                    </a:prstGeom>
                  </pic:spPr>
                </pic:pic>
              </a:graphicData>
            </a:graphic>
          </wp:inline>
        </w:drawing>
      </w:r>
    </w:p>
    <w:p>
      <w:pPr>
        <w:pStyle w:val="2"/>
        <w:rPr>
          <w:rFonts w:hint="eastAsia"/>
          <w:lang w:val="en-US" w:eastAsia="zh-CN"/>
        </w:rPr>
      </w:pPr>
    </w:p>
    <w:p>
      <w:pPr>
        <w:pStyle w:val="2"/>
        <w:rPr>
          <w:rFonts w:hint="eastAsia"/>
          <w:lang w:val="en-US" w:eastAsia="zh-CN"/>
        </w:rPr>
      </w:pPr>
    </w:p>
    <w:p>
      <w:pPr>
        <w:pStyle w:val="2"/>
        <w:rPr>
          <w:rFonts w:hint="eastAsia"/>
          <w:lang w:val="en-US" w:eastAsia="zh-CN"/>
        </w:rPr>
      </w:pPr>
      <w:r>
        <w:rPr>
          <w:rFonts w:hint="eastAsia"/>
          <w:lang w:val="en-US" w:eastAsia="zh-CN"/>
        </w:rPr>
        <w:drawing>
          <wp:inline distT="0" distB="0" distL="114300" distR="114300">
            <wp:extent cx="5705475" cy="8039100"/>
            <wp:effectExtent l="0" t="0" r="9525" b="0"/>
            <wp:docPr id="33" name="图片 33" descr="1593677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593677697(1)"/>
                    <pic:cNvPicPr>
                      <a:picLocks noChangeAspect="1"/>
                    </pic:cNvPicPr>
                  </pic:nvPicPr>
                  <pic:blipFill>
                    <a:blip r:embed="rId15"/>
                    <a:stretch>
                      <a:fillRect/>
                    </a:stretch>
                  </pic:blipFill>
                  <pic:spPr>
                    <a:xfrm>
                      <a:off x="0" y="0"/>
                      <a:ext cx="5705475" cy="8039100"/>
                    </a:xfrm>
                    <a:prstGeom prst="rect">
                      <a:avLst/>
                    </a:prstGeom>
                  </pic:spPr>
                </pic:pic>
              </a:graphicData>
            </a:graphic>
          </wp:inline>
        </w:drawing>
      </w:r>
    </w:p>
    <w:p>
      <w:pPr>
        <w:pStyle w:val="2"/>
        <w:rPr>
          <w:rFonts w:hint="eastAsia"/>
          <w:lang w:val="en-US" w:eastAsia="zh-CN"/>
        </w:rPr>
      </w:pPr>
    </w:p>
    <w:p>
      <w:pPr>
        <w:pStyle w:val="2"/>
        <w:rPr>
          <w:rFonts w:hint="eastAsia"/>
          <w:lang w:val="en-US" w:eastAsia="zh-CN"/>
        </w:rPr>
      </w:pPr>
    </w:p>
    <w:p>
      <w:pPr>
        <w:pStyle w:val="2"/>
        <w:rPr>
          <w:rFonts w:hint="eastAsia"/>
          <w:lang w:val="en-US" w:eastAsia="zh-CN"/>
        </w:rPr>
      </w:pPr>
      <w:r>
        <w:rPr>
          <w:rFonts w:hint="eastAsia"/>
          <w:lang w:val="en-US" w:eastAsia="zh-CN"/>
        </w:rPr>
        <w:drawing>
          <wp:inline distT="0" distB="0" distL="114300" distR="114300">
            <wp:extent cx="5667375" cy="8048625"/>
            <wp:effectExtent l="0" t="0" r="9525" b="9525"/>
            <wp:docPr id="34" name="图片 34" descr="1593677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593677721(1)"/>
                    <pic:cNvPicPr>
                      <a:picLocks noChangeAspect="1"/>
                    </pic:cNvPicPr>
                  </pic:nvPicPr>
                  <pic:blipFill>
                    <a:blip r:embed="rId16"/>
                    <a:stretch>
                      <a:fillRect/>
                    </a:stretch>
                  </pic:blipFill>
                  <pic:spPr>
                    <a:xfrm>
                      <a:off x="0" y="0"/>
                      <a:ext cx="5667375" cy="8048625"/>
                    </a:xfrm>
                    <a:prstGeom prst="rect">
                      <a:avLst/>
                    </a:prstGeom>
                  </pic:spPr>
                </pic:pic>
              </a:graphicData>
            </a:graphic>
          </wp:inline>
        </w:drawing>
      </w:r>
      <w:r>
        <w:rPr>
          <w:rFonts w:hint="eastAsia"/>
          <w:lang w:val="en-US" w:eastAsia="zh-CN"/>
        </w:rPr>
        <w:drawing>
          <wp:inline distT="0" distB="0" distL="114300" distR="114300">
            <wp:extent cx="5695950" cy="7924800"/>
            <wp:effectExtent l="0" t="0" r="0" b="0"/>
            <wp:docPr id="35" name="图片 35" descr="15936777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593677748(1)"/>
                    <pic:cNvPicPr>
                      <a:picLocks noChangeAspect="1"/>
                    </pic:cNvPicPr>
                  </pic:nvPicPr>
                  <pic:blipFill>
                    <a:blip r:embed="rId17"/>
                    <a:stretch>
                      <a:fillRect/>
                    </a:stretch>
                  </pic:blipFill>
                  <pic:spPr>
                    <a:xfrm>
                      <a:off x="0" y="0"/>
                      <a:ext cx="5695950" cy="7924800"/>
                    </a:xfrm>
                    <a:prstGeom prst="rect">
                      <a:avLst/>
                    </a:prstGeom>
                  </pic:spPr>
                </pic:pic>
              </a:graphicData>
            </a:graphic>
          </wp:inline>
        </w:drawing>
      </w:r>
    </w:p>
    <w:p>
      <w:pPr>
        <w:pStyle w:val="2"/>
        <w:rPr>
          <w:rFonts w:hint="eastAsia"/>
          <w:lang w:val="en-US" w:eastAsia="zh-CN"/>
        </w:rPr>
      </w:pPr>
    </w:p>
    <w:p>
      <w:pPr>
        <w:pStyle w:val="2"/>
        <w:rPr>
          <w:rFonts w:hint="eastAsia"/>
          <w:lang w:val="en-US" w:eastAsia="zh-CN"/>
        </w:rPr>
      </w:pPr>
      <w:r>
        <w:rPr>
          <w:rFonts w:hint="eastAsia"/>
          <w:lang w:val="en-US" w:eastAsia="zh-CN"/>
        </w:rPr>
        <w:drawing>
          <wp:inline distT="0" distB="0" distL="114300" distR="114300">
            <wp:extent cx="5743575" cy="7915275"/>
            <wp:effectExtent l="0" t="0" r="9525" b="9525"/>
            <wp:docPr id="36" name="图片 36" descr="1593677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593677798(1)"/>
                    <pic:cNvPicPr>
                      <a:picLocks noChangeAspect="1"/>
                    </pic:cNvPicPr>
                  </pic:nvPicPr>
                  <pic:blipFill>
                    <a:blip r:embed="rId18"/>
                    <a:stretch>
                      <a:fillRect/>
                    </a:stretch>
                  </pic:blipFill>
                  <pic:spPr>
                    <a:xfrm>
                      <a:off x="0" y="0"/>
                      <a:ext cx="5743575" cy="7915275"/>
                    </a:xfrm>
                    <a:prstGeom prst="rect">
                      <a:avLst/>
                    </a:prstGeom>
                  </pic:spPr>
                </pic:pic>
              </a:graphicData>
            </a:graphic>
          </wp:inline>
        </w:drawing>
      </w:r>
    </w:p>
    <w:p>
      <w:pPr>
        <w:pStyle w:val="2"/>
        <w:rPr>
          <w:rFonts w:hint="eastAsia"/>
          <w:lang w:val="en-US" w:eastAsia="zh-CN"/>
        </w:rPr>
      </w:pPr>
      <w:r>
        <w:rPr>
          <w:rFonts w:hint="eastAsia"/>
          <w:lang w:val="en-US" w:eastAsia="zh-CN"/>
        </w:rPr>
        <w:drawing>
          <wp:inline distT="0" distB="0" distL="114300" distR="114300">
            <wp:extent cx="5695950" cy="8029575"/>
            <wp:effectExtent l="0" t="0" r="0" b="9525"/>
            <wp:docPr id="37" name="图片 37" descr="1593677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593677816(1)"/>
                    <pic:cNvPicPr>
                      <a:picLocks noChangeAspect="1"/>
                    </pic:cNvPicPr>
                  </pic:nvPicPr>
                  <pic:blipFill>
                    <a:blip r:embed="rId19"/>
                    <a:stretch>
                      <a:fillRect/>
                    </a:stretch>
                  </pic:blipFill>
                  <pic:spPr>
                    <a:xfrm>
                      <a:off x="0" y="0"/>
                      <a:ext cx="5695950" cy="8029575"/>
                    </a:xfrm>
                    <a:prstGeom prst="rect">
                      <a:avLst/>
                    </a:prstGeom>
                  </pic:spPr>
                </pic:pic>
              </a:graphicData>
            </a:graphic>
          </wp:inline>
        </w:drawing>
      </w:r>
    </w:p>
    <w:p>
      <w:pPr>
        <w:pStyle w:val="2"/>
        <w:rPr>
          <w:rFonts w:hint="eastAsia"/>
          <w:lang w:val="en-US" w:eastAsia="zh-CN"/>
        </w:rPr>
      </w:pPr>
    </w:p>
    <w:p>
      <w:pPr>
        <w:pStyle w:val="2"/>
        <w:rPr>
          <w:rFonts w:hint="eastAsia"/>
          <w:lang w:val="en-US" w:eastAsia="zh-CN"/>
        </w:rPr>
      </w:pPr>
      <w:r>
        <w:rPr>
          <w:rFonts w:hint="eastAsia"/>
          <w:lang w:val="en-US" w:eastAsia="zh-CN"/>
        </w:rPr>
        <w:drawing>
          <wp:inline distT="0" distB="0" distL="114300" distR="114300">
            <wp:extent cx="5695950" cy="8058150"/>
            <wp:effectExtent l="0" t="0" r="0" b="0"/>
            <wp:docPr id="38" name="图片 38" descr="1593677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593677838(1)"/>
                    <pic:cNvPicPr>
                      <a:picLocks noChangeAspect="1"/>
                    </pic:cNvPicPr>
                  </pic:nvPicPr>
                  <pic:blipFill>
                    <a:blip r:embed="rId20"/>
                    <a:stretch>
                      <a:fillRect/>
                    </a:stretch>
                  </pic:blipFill>
                  <pic:spPr>
                    <a:xfrm>
                      <a:off x="0" y="0"/>
                      <a:ext cx="5695950" cy="8058150"/>
                    </a:xfrm>
                    <a:prstGeom prst="rect">
                      <a:avLst/>
                    </a:prstGeom>
                  </pic:spPr>
                </pic:pic>
              </a:graphicData>
            </a:graphic>
          </wp:inline>
        </w:drawing>
      </w:r>
    </w:p>
    <w:p>
      <w:pPr>
        <w:pStyle w:val="2"/>
        <w:rPr>
          <w:rFonts w:hint="eastAsia"/>
          <w:lang w:val="en-US" w:eastAsia="zh-CN"/>
        </w:rPr>
      </w:pPr>
      <w:r>
        <w:rPr>
          <w:rFonts w:hint="eastAsia"/>
          <w:lang w:val="en-US" w:eastAsia="zh-CN"/>
        </w:rPr>
        <w:drawing>
          <wp:inline distT="0" distB="0" distL="114300" distR="114300">
            <wp:extent cx="5695950" cy="7953375"/>
            <wp:effectExtent l="0" t="0" r="0" b="9525"/>
            <wp:docPr id="39" name="图片 39" descr="15936778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593677862(1)"/>
                    <pic:cNvPicPr>
                      <a:picLocks noChangeAspect="1"/>
                    </pic:cNvPicPr>
                  </pic:nvPicPr>
                  <pic:blipFill>
                    <a:blip r:embed="rId21"/>
                    <a:stretch>
                      <a:fillRect/>
                    </a:stretch>
                  </pic:blipFill>
                  <pic:spPr>
                    <a:xfrm>
                      <a:off x="0" y="0"/>
                      <a:ext cx="5695950" cy="7953375"/>
                    </a:xfrm>
                    <a:prstGeom prst="rect">
                      <a:avLst/>
                    </a:prstGeom>
                  </pic:spPr>
                </pic:pic>
              </a:graphicData>
            </a:graphic>
          </wp:inline>
        </w:drawing>
      </w:r>
    </w:p>
    <w:p>
      <w:pPr>
        <w:pStyle w:val="2"/>
        <w:rPr>
          <w:rFonts w:hint="eastAsia"/>
          <w:lang w:val="en-US" w:eastAsia="zh-CN"/>
        </w:rPr>
      </w:pPr>
      <w:r>
        <w:rPr>
          <w:rFonts w:hint="eastAsia"/>
          <w:lang w:val="en-US" w:eastAsia="zh-CN"/>
        </w:rPr>
        <w:drawing>
          <wp:inline distT="0" distB="0" distL="114300" distR="114300">
            <wp:extent cx="5695950" cy="7867650"/>
            <wp:effectExtent l="0" t="0" r="0" b="0"/>
            <wp:docPr id="40" name="图片 40" descr="15936778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593677881(1)"/>
                    <pic:cNvPicPr>
                      <a:picLocks noChangeAspect="1"/>
                    </pic:cNvPicPr>
                  </pic:nvPicPr>
                  <pic:blipFill>
                    <a:blip r:embed="rId22"/>
                    <a:stretch>
                      <a:fillRect/>
                    </a:stretch>
                  </pic:blipFill>
                  <pic:spPr>
                    <a:xfrm>
                      <a:off x="0" y="0"/>
                      <a:ext cx="5695950" cy="7867650"/>
                    </a:xfrm>
                    <a:prstGeom prst="rect">
                      <a:avLst/>
                    </a:prstGeom>
                  </pic:spPr>
                </pic:pic>
              </a:graphicData>
            </a:graphic>
          </wp:inline>
        </w:drawing>
      </w:r>
    </w:p>
    <w:p>
      <w:pPr>
        <w:pStyle w:val="2"/>
        <w:rPr>
          <w:rFonts w:hint="eastAsia"/>
          <w:lang w:val="en-US" w:eastAsia="zh-CN"/>
        </w:rPr>
      </w:pPr>
      <w:r>
        <w:rPr>
          <w:rFonts w:hint="eastAsia"/>
          <w:lang w:val="en-US" w:eastAsia="zh-CN"/>
        </w:rPr>
        <w:drawing>
          <wp:inline distT="0" distB="0" distL="114300" distR="114300">
            <wp:extent cx="5772150" cy="8058150"/>
            <wp:effectExtent l="0" t="0" r="0" b="0"/>
            <wp:docPr id="41" name="图片 41" descr="1593677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593677900(1)"/>
                    <pic:cNvPicPr>
                      <a:picLocks noChangeAspect="1"/>
                    </pic:cNvPicPr>
                  </pic:nvPicPr>
                  <pic:blipFill>
                    <a:blip r:embed="rId23"/>
                    <a:stretch>
                      <a:fillRect/>
                    </a:stretch>
                  </pic:blipFill>
                  <pic:spPr>
                    <a:xfrm>
                      <a:off x="0" y="0"/>
                      <a:ext cx="5772150" cy="8058150"/>
                    </a:xfrm>
                    <a:prstGeom prst="rect">
                      <a:avLst/>
                    </a:prstGeom>
                  </pic:spPr>
                </pic:pic>
              </a:graphicData>
            </a:graphic>
          </wp:inline>
        </w:drawing>
      </w:r>
    </w:p>
    <w:p>
      <w:pPr>
        <w:pStyle w:val="2"/>
        <w:rPr>
          <w:rFonts w:hint="eastAsia"/>
          <w:lang w:val="en-US" w:eastAsia="zh-CN"/>
        </w:rPr>
      </w:pPr>
      <w:r>
        <w:rPr>
          <w:rFonts w:hint="eastAsia"/>
          <w:lang w:val="en-US" w:eastAsia="zh-CN"/>
        </w:rPr>
        <w:drawing>
          <wp:inline distT="0" distB="0" distL="114300" distR="114300">
            <wp:extent cx="5686425" cy="8010525"/>
            <wp:effectExtent l="0" t="0" r="9525" b="9525"/>
            <wp:docPr id="42" name="图片 42" descr="15936779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593677917(1)"/>
                    <pic:cNvPicPr>
                      <a:picLocks noChangeAspect="1"/>
                    </pic:cNvPicPr>
                  </pic:nvPicPr>
                  <pic:blipFill>
                    <a:blip r:embed="rId24"/>
                    <a:stretch>
                      <a:fillRect/>
                    </a:stretch>
                  </pic:blipFill>
                  <pic:spPr>
                    <a:xfrm>
                      <a:off x="0" y="0"/>
                      <a:ext cx="5686425" cy="8010525"/>
                    </a:xfrm>
                    <a:prstGeom prst="rect">
                      <a:avLst/>
                    </a:prstGeom>
                  </pic:spPr>
                </pic:pic>
              </a:graphicData>
            </a:graphic>
          </wp:inline>
        </w:drawing>
      </w:r>
    </w:p>
    <w:p>
      <w:pPr>
        <w:pStyle w:val="2"/>
        <w:rPr>
          <w:rFonts w:hint="eastAsia"/>
          <w:lang w:val="en-US" w:eastAsia="zh-CN"/>
        </w:rPr>
      </w:pPr>
      <w:r>
        <w:rPr>
          <w:rFonts w:hint="eastAsia"/>
          <w:lang w:val="en-US" w:eastAsia="zh-CN"/>
        </w:rPr>
        <w:drawing>
          <wp:inline distT="0" distB="0" distL="114300" distR="114300">
            <wp:extent cx="5705475" cy="7991475"/>
            <wp:effectExtent l="0" t="0" r="9525" b="9525"/>
            <wp:docPr id="43" name="图片 43" descr="15936779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593677937(1)"/>
                    <pic:cNvPicPr>
                      <a:picLocks noChangeAspect="1"/>
                    </pic:cNvPicPr>
                  </pic:nvPicPr>
                  <pic:blipFill>
                    <a:blip r:embed="rId25"/>
                    <a:stretch>
                      <a:fillRect/>
                    </a:stretch>
                  </pic:blipFill>
                  <pic:spPr>
                    <a:xfrm>
                      <a:off x="0" y="0"/>
                      <a:ext cx="5705475" cy="7991475"/>
                    </a:xfrm>
                    <a:prstGeom prst="rect">
                      <a:avLst/>
                    </a:prstGeom>
                  </pic:spPr>
                </pic:pic>
              </a:graphicData>
            </a:graphic>
          </wp:inline>
        </w:drawing>
      </w:r>
    </w:p>
    <w:p>
      <w:pPr>
        <w:pStyle w:val="2"/>
        <w:rPr>
          <w:rFonts w:hint="eastAsia"/>
          <w:lang w:val="en-US" w:eastAsia="zh-CN"/>
        </w:rPr>
      </w:pPr>
      <w:r>
        <w:rPr>
          <w:rFonts w:hint="eastAsia"/>
          <w:lang w:val="en-US" w:eastAsia="zh-CN"/>
        </w:rPr>
        <w:drawing>
          <wp:inline distT="0" distB="0" distL="114300" distR="114300">
            <wp:extent cx="5686425" cy="7848600"/>
            <wp:effectExtent l="0" t="0" r="9525" b="0"/>
            <wp:docPr id="44" name="图片 44" descr="15936779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593677962(1)"/>
                    <pic:cNvPicPr>
                      <a:picLocks noChangeAspect="1"/>
                    </pic:cNvPicPr>
                  </pic:nvPicPr>
                  <pic:blipFill>
                    <a:blip r:embed="rId26"/>
                    <a:stretch>
                      <a:fillRect/>
                    </a:stretch>
                  </pic:blipFill>
                  <pic:spPr>
                    <a:xfrm>
                      <a:off x="0" y="0"/>
                      <a:ext cx="5686425" cy="7848600"/>
                    </a:xfrm>
                    <a:prstGeom prst="rect">
                      <a:avLst/>
                    </a:prstGeom>
                  </pic:spPr>
                </pic:pic>
              </a:graphicData>
            </a:graphic>
          </wp:inline>
        </w:drawing>
      </w:r>
    </w:p>
    <w:p>
      <w:pPr>
        <w:pStyle w:val="2"/>
        <w:rPr>
          <w:rFonts w:hint="eastAsia"/>
          <w:lang w:val="en-US" w:eastAsia="zh-CN"/>
        </w:rPr>
      </w:pPr>
      <w:r>
        <w:rPr>
          <w:rFonts w:hint="eastAsia"/>
          <w:lang w:val="en-US" w:eastAsia="zh-CN"/>
        </w:rPr>
        <w:drawing>
          <wp:inline distT="0" distB="0" distL="114300" distR="114300">
            <wp:extent cx="5676900" cy="8086725"/>
            <wp:effectExtent l="0" t="0" r="0" b="9525"/>
            <wp:docPr id="45" name="图片 45" descr="15936779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593677984(1)"/>
                    <pic:cNvPicPr>
                      <a:picLocks noChangeAspect="1"/>
                    </pic:cNvPicPr>
                  </pic:nvPicPr>
                  <pic:blipFill>
                    <a:blip r:embed="rId27"/>
                    <a:stretch>
                      <a:fillRect/>
                    </a:stretch>
                  </pic:blipFill>
                  <pic:spPr>
                    <a:xfrm>
                      <a:off x="0" y="0"/>
                      <a:ext cx="5676900" cy="8086725"/>
                    </a:xfrm>
                    <a:prstGeom prst="rect">
                      <a:avLst/>
                    </a:prstGeom>
                  </pic:spPr>
                </pic:pic>
              </a:graphicData>
            </a:graphic>
          </wp:inline>
        </w:drawing>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3"/>
        <w:bidi w:val="0"/>
        <w:rPr>
          <w:rFonts w:hint="eastAsia" w:ascii="Times New Roman" w:hAnsi="Times New Roman" w:cs="Times New Roman"/>
          <w:szCs w:val="22"/>
          <w:lang w:val="en-US" w:eastAsia="zh-CN"/>
        </w:rPr>
      </w:pPr>
      <w:bookmarkStart w:id="14" w:name="_Toc17134"/>
      <w:bookmarkStart w:id="15" w:name="_Toc24511"/>
      <w:r>
        <w:rPr>
          <w:rFonts w:hint="eastAsia" w:ascii="Times New Roman" w:hAnsi="Times New Roman" w:cs="Times New Roman"/>
          <w:szCs w:val="22"/>
          <w:lang w:val="en-US" w:eastAsia="zh-CN"/>
        </w:rPr>
        <w:t>5 污染物排放情况</w:t>
      </w:r>
      <w:bookmarkEnd w:id="14"/>
      <w:bookmarkEnd w:id="15"/>
    </w:p>
    <w:p>
      <w:pPr>
        <w:pStyle w:val="4"/>
        <w:bidi w:val="0"/>
        <w:rPr>
          <w:rFonts w:hint="eastAsia" w:ascii="仿宋" w:hAnsi="仿宋" w:eastAsia="仿宋" w:cs="仿宋"/>
          <w:sz w:val="32"/>
          <w:szCs w:val="32"/>
          <w:lang w:val="en-US" w:eastAsia="zh-CN"/>
        </w:rPr>
      </w:pPr>
      <w:bookmarkStart w:id="16" w:name="_Toc23690"/>
      <w:bookmarkStart w:id="17" w:name="_Toc17646"/>
      <w:r>
        <w:rPr>
          <w:rFonts w:hint="eastAsia" w:ascii="仿宋" w:hAnsi="仿宋" w:eastAsia="仿宋" w:cs="仿宋"/>
          <w:sz w:val="32"/>
          <w:szCs w:val="32"/>
          <w:lang w:val="en-US" w:eastAsia="zh-CN"/>
        </w:rPr>
        <w:t>5.1 废水</w:t>
      </w:r>
      <w:bookmarkEnd w:id="16"/>
      <w:bookmarkEnd w:id="17"/>
    </w:p>
    <w:p>
      <w:pPr>
        <w:pStyle w:val="8"/>
        <w:keepNext w:val="0"/>
        <w:keepLines w:val="0"/>
        <w:pageBreakBefore w:val="0"/>
        <w:kinsoku/>
        <w:wordWrap/>
        <w:overflowPunct/>
        <w:topLinePunct w:val="0"/>
        <w:autoSpaceDE/>
        <w:autoSpaceDN/>
        <w:bidi w:val="0"/>
        <w:adjustRightInd/>
        <w:snapToGrid/>
        <w:spacing w:after="0" w:afterLines="0" w:line="360" w:lineRule="auto"/>
        <w:ind w:right="0" w:rightChars="0"/>
        <w:textAlignment w:val="auto"/>
        <w:outlineLvl w:val="1"/>
        <w:rPr>
          <w:rFonts w:hint="eastAsia" w:ascii="仿宋" w:hAnsi="仿宋" w:eastAsia="仿宋" w:cs="仿宋"/>
          <w:kern w:val="2"/>
          <w:sz w:val="32"/>
          <w:szCs w:val="32"/>
          <w:lang w:val="en-US" w:eastAsia="zh-CN" w:bidi="ar-SA"/>
        </w:rPr>
      </w:pPr>
      <w:bookmarkStart w:id="18" w:name="_Toc10634"/>
      <w:bookmarkStart w:id="19" w:name="_Toc1485"/>
      <w:r>
        <w:rPr>
          <w:rFonts w:hint="eastAsia" w:ascii="仿宋" w:hAnsi="仿宋" w:eastAsia="仿宋" w:cs="仿宋"/>
          <w:kern w:val="2"/>
          <w:sz w:val="32"/>
          <w:szCs w:val="32"/>
          <w:lang w:val="en-US" w:eastAsia="zh-CN" w:bidi="ar-SA"/>
        </w:rPr>
        <w:t>依据废气在线监测及第三方季度监测报告提供的数据，2020年第二季度年废水特征污染物及排放量如下：</w:t>
      </w:r>
      <w:bookmarkEnd w:id="18"/>
    </w:p>
    <w:tbl>
      <w:tblPr>
        <w:tblStyle w:val="21"/>
        <w:tblW w:w="4991" w:type="pct"/>
        <w:tblInd w:w="0" w:type="dxa"/>
        <w:shd w:val="clear" w:color="auto" w:fill="auto"/>
        <w:tblLayout w:type="autofit"/>
        <w:tblCellMar>
          <w:top w:w="0" w:type="dxa"/>
          <w:left w:w="0" w:type="dxa"/>
          <w:bottom w:w="0" w:type="dxa"/>
          <w:right w:w="0" w:type="dxa"/>
        </w:tblCellMar>
      </w:tblPr>
      <w:tblGrid>
        <w:gridCol w:w="1135"/>
        <w:gridCol w:w="1017"/>
        <w:gridCol w:w="1216"/>
        <w:gridCol w:w="2514"/>
        <w:gridCol w:w="1997"/>
        <w:gridCol w:w="1997"/>
      </w:tblGrid>
      <w:tr>
        <w:tblPrEx>
          <w:tblCellMar>
            <w:top w:w="0" w:type="dxa"/>
            <w:left w:w="0" w:type="dxa"/>
            <w:bottom w:w="0" w:type="dxa"/>
            <w:right w:w="0" w:type="dxa"/>
          </w:tblCellMar>
        </w:tblPrEx>
        <w:trPr>
          <w:trHeight w:val="634"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排放口名称</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cs="宋体"/>
                <w:b/>
                <w:i w:val="0"/>
                <w:color w:val="000000"/>
                <w:kern w:val="0"/>
                <w:sz w:val="22"/>
                <w:szCs w:val="22"/>
                <w:u w:val="none"/>
                <w:lang w:val="en-US" w:eastAsia="zh-CN" w:bidi="ar"/>
              </w:rPr>
              <w:t>类别</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sz w:val="22"/>
                <w:szCs w:val="22"/>
                <w:u w:val="none"/>
                <w:lang w:val="en-US"/>
              </w:rPr>
            </w:pPr>
            <w:r>
              <w:rPr>
                <w:rFonts w:hint="eastAsia" w:ascii="宋体" w:hAnsi="宋体" w:cs="宋体"/>
                <w:b/>
                <w:i w:val="0"/>
                <w:color w:val="000000"/>
                <w:kern w:val="0"/>
                <w:sz w:val="22"/>
                <w:szCs w:val="22"/>
                <w:u w:val="none"/>
                <w:lang w:val="en-US" w:eastAsia="zh-CN" w:bidi="ar"/>
              </w:rPr>
              <w:t>污染物名称</w:t>
            </w:r>
          </w:p>
        </w:tc>
        <w:tc>
          <w:tcPr>
            <w:tcW w:w="12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污染物排放量</w:t>
            </w:r>
            <w:r>
              <w:rPr>
                <w:rFonts w:hint="eastAsia" w:ascii="宋体" w:hAnsi="宋体" w:cs="宋体"/>
                <w:b/>
                <w:i w:val="0"/>
                <w:color w:val="000000"/>
                <w:kern w:val="0"/>
                <w:sz w:val="22"/>
                <w:szCs w:val="22"/>
                <w:u w:val="none"/>
                <w:lang w:val="en-US" w:eastAsia="zh-CN" w:bidi="ar"/>
              </w:rPr>
              <w:t>监测</w:t>
            </w:r>
            <w:r>
              <w:rPr>
                <w:rFonts w:hint="eastAsia" w:ascii="宋体" w:hAnsi="宋体" w:eastAsia="宋体" w:cs="宋体"/>
                <w:b/>
                <w:i w:val="0"/>
                <w:color w:val="000000"/>
                <w:kern w:val="0"/>
                <w:sz w:val="22"/>
                <w:szCs w:val="22"/>
                <w:u w:val="none"/>
                <w:lang w:val="en-US" w:eastAsia="zh-CN" w:bidi="ar"/>
              </w:rPr>
              <w:t>方法</w:t>
            </w:r>
          </w:p>
        </w:tc>
        <w:tc>
          <w:tcPr>
            <w:tcW w:w="10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污染物排放量（千克）</w:t>
            </w:r>
          </w:p>
        </w:tc>
        <w:tc>
          <w:tcPr>
            <w:tcW w:w="101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kern w:val="0"/>
                <w:sz w:val="22"/>
                <w:szCs w:val="22"/>
                <w:u w:val="none"/>
                <w:lang w:val="en-US" w:eastAsia="zh-CN" w:bidi="ar"/>
              </w:rPr>
            </w:pPr>
            <w:r>
              <w:rPr>
                <w:rFonts w:hint="eastAsia" w:ascii="宋体" w:hAnsi="宋体" w:cs="宋体"/>
                <w:b/>
                <w:i w:val="0"/>
                <w:color w:val="000000"/>
                <w:kern w:val="0"/>
                <w:sz w:val="22"/>
                <w:szCs w:val="22"/>
                <w:u w:val="none"/>
                <w:lang w:val="en-US" w:eastAsia="zh-CN" w:bidi="ar"/>
              </w:rPr>
              <w:t>废水排放量</w:t>
            </w:r>
          </w:p>
        </w:tc>
      </w:tr>
      <w:tr>
        <w:tblPrEx>
          <w:tblCellMar>
            <w:top w:w="0" w:type="dxa"/>
            <w:left w:w="0" w:type="dxa"/>
            <w:bottom w:w="0" w:type="dxa"/>
            <w:right w:w="0" w:type="dxa"/>
          </w:tblCellMar>
        </w:tblPrEx>
        <w:trPr>
          <w:trHeight w:val="420"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废水总排口</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废水</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62"/>
                <w:lang w:val="en-US" w:eastAsia="zh-CN" w:bidi="ar"/>
              </w:rPr>
              <w:t>COD</w:t>
            </w:r>
          </w:p>
        </w:tc>
        <w:tc>
          <w:tcPr>
            <w:tcW w:w="1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自动监测</w:t>
            </w:r>
          </w:p>
        </w:tc>
        <w:tc>
          <w:tcPr>
            <w:tcW w:w="19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3037.812 KG</w:t>
            </w:r>
          </w:p>
        </w:tc>
        <w:tc>
          <w:tcPr>
            <w:tcW w:w="1010" w:type="pct"/>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228388.452m³</w:t>
            </w:r>
          </w:p>
        </w:tc>
      </w:tr>
      <w:tr>
        <w:tblPrEx>
          <w:tblCellMar>
            <w:top w:w="0" w:type="dxa"/>
            <w:left w:w="0" w:type="dxa"/>
            <w:bottom w:w="0" w:type="dxa"/>
            <w:right w:w="0" w:type="dxa"/>
          </w:tblCellMar>
        </w:tblPrEx>
        <w:trPr>
          <w:trHeight w:val="340"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废水总排口</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废水</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氨氮</w:t>
            </w:r>
          </w:p>
        </w:tc>
        <w:tc>
          <w:tcPr>
            <w:tcW w:w="1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自动监测</w:t>
            </w:r>
          </w:p>
        </w:tc>
        <w:tc>
          <w:tcPr>
            <w:tcW w:w="19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33.066  KG</w:t>
            </w:r>
          </w:p>
        </w:tc>
        <w:tc>
          <w:tcPr>
            <w:tcW w:w="1010"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460"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废水总排口</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废水</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Style w:val="62"/>
                <w:lang w:val="en-US" w:eastAsia="zh-CN" w:bidi="ar"/>
              </w:rPr>
              <w:t>SS</w:t>
            </w:r>
          </w:p>
        </w:tc>
        <w:tc>
          <w:tcPr>
            <w:tcW w:w="12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监测机构监测</w:t>
            </w:r>
          </w:p>
        </w:tc>
        <w:tc>
          <w:tcPr>
            <w:tcW w:w="19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1389.168 KG</w:t>
            </w:r>
          </w:p>
        </w:tc>
        <w:tc>
          <w:tcPr>
            <w:tcW w:w="1010" w:type="pct"/>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cs="宋体"/>
                <w:i w:val="0"/>
                <w:color w:val="000000"/>
                <w:kern w:val="0"/>
                <w:sz w:val="22"/>
                <w:szCs w:val="22"/>
                <w:u w:val="none"/>
                <w:lang w:val="en-US" w:eastAsia="zh-CN" w:bidi="ar"/>
              </w:rPr>
            </w:pPr>
          </w:p>
        </w:tc>
      </w:tr>
      <w:bookmarkEnd w:id="19"/>
    </w:tbl>
    <w:p>
      <w:pPr>
        <w:pStyle w:val="9"/>
        <w:keepNext w:val="0"/>
        <w:keepLines w:val="0"/>
        <w:pageBreakBefore w:val="0"/>
        <w:widowControl/>
        <w:kinsoku/>
        <w:wordWrap/>
        <w:overflowPunct/>
        <w:topLinePunct w:val="0"/>
        <w:autoSpaceDE/>
        <w:autoSpaceDN/>
        <w:bidi w:val="0"/>
        <w:adjustRightInd/>
        <w:snapToGrid/>
        <w:spacing w:before="0" w:after="0" w:line="360" w:lineRule="auto"/>
        <w:textAlignment w:val="auto"/>
        <w:rPr>
          <w:rFonts w:hint="eastAsia" w:ascii="仿宋" w:hAnsi="仿宋" w:eastAsia="仿宋" w:cs="仿宋"/>
          <w:b/>
          <w:bCs/>
          <w:sz w:val="32"/>
          <w:szCs w:val="32"/>
          <w:lang w:val="en-US" w:eastAsia="zh-CN"/>
        </w:rPr>
      </w:pPr>
      <w:bookmarkStart w:id="20" w:name="_Toc24689"/>
      <w:r>
        <w:rPr>
          <w:rFonts w:hint="eastAsia" w:ascii="仿宋" w:hAnsi="仿宋" w:eastAsia="仿宋" w:cs="仿宋"/>
          <w:b/>
          <w:bCs/>
          <w:sz w:val="32"/>
          <w:szCs w:val="32"/>
          <w:lang w:val="en-US" w:eastAsia="zh-CN"/>
        </w:rPr>
        <w:t>废水排放去向：通过在线监测明渠、密闭管道排放至文革河</w:t>
      </w:r>
    </w:p>
    <w:p>
      <w:pPr>
        <w:pStyle w:val="4"/>
        <w:bidi w:val="0"/>
        <w:rPr>
          <w:rFonts w:hint="eastAsia" w:ascii="仿宋" w:hAnsi="仿宋" w:eastAsia="仿宋" w:cs="仿宋"/>
          <w:sz w:val="32"/>
          <w:szCs w:val="32"/>
          <w:lang w:val="en-US" w:eastAsia="zh-CN"/>
        </w:rPr>
      </w:pPr>
      <w:bookmarkStart w:id="21" w:name="_Toc21037"/>
      <w:r>
        <w:rPr>
          <w:rFonts w:hint="eastAsia" w:ascii="仿宋" w:hAnsi="仿宋" w:eastAsia="仿宋" w:cs="仿宋"/>
          <w:sz w:val="32"/>
          <w:szCs w:val="32"/>
          <w:lang w:val="en-US" w:eastAsia="zh-CN"/>
        </w:rPr>
        <w:t>5.2废气</w:t>
      </w:r>
      <w:bookmarkEnd w:id="20"/>
      <w:bookmarkEnd w:id="21"/>
    </w:p>
    <w:p>
      <w:pPr>
        <w:pStyle w:val="9"/>
        <w:keepNext w:val="0"/>
        <w:keepLines w:val="0"/>
        <w:pageBreakBefore w:val="0"/>
        <w:widowControl/>
        <w:kinsoku/>
        <w:wordWrap/>
        <w:overflowPunct/>
        <w:topLinePunct w:val="0"/>
        <w:autoSpaceDE/>
        <w:autoSpaceDN/>
        <w:bidi w:val="0"/>
        <w:adjustRightInd/>
        <w:snapToGrid/>
        <w:spacing w:before="0" w:after="0" w:line="360" w:lineRule="auto"/>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依据废气在线监测及第三方季度监测报告提供的数据，</w:t>
      </w:r>
      <w:r>
        <w:rPr>
          <w:rFonts w:hint="eastAsia" w:ascii="仿宋" w:hAnsi="仿宋" w:eastAsia="仿宋" w:cs="仿宋"/>
          <w:kern w:val="2"/>
          <w:sz w:val="32"/>
          <w:szCs w:val="32"/>
          <w:lang w:val="en-US" w:eastAsia="zh-CN" w:bidi="ar-SA"/>
        </w:rPr>
        <w:t>2020年第二季度年废水特征污染物及排放量如下：</w:t>
      </w:r>
    </w:p>
    <w:tbl>
      <w:tblPr>
        <w:tblStyle w:val="21"/>
        <w:tblW w:w="4995" w:type="pct"/>
        <w:tblInd w:w="0" w:type="dxa"/>
        <w:shd w:val="clear" w:color="auto" w:fill="auto"/>
        <w:tblLayout w:type="autofit"/>
        <w:tblCellMar>
          <w:top w:w="0" w:type="dxa"/>
          <w:left w:w="0" w:type="dxa"/>
          <w:bottom w:w="0" w:type="dxa"/>
          <w:right w:w="0" w:type="dxa"/>
        </w:tblCellMar>
      </w:tblPr>
      <w:tblGrid>
        <w:gridCol w:w="1135"/>
        <w:gridCol w:w="1790"/>
        <w:gridCol w:w="1135"/>
        <w:gridCol w:w="1522"/>
        <w:gridCol w:w="2150"/>
        <w:gridCol w:w="2152"/>
      </w:tblGrid>
      <w:tr>
        <w:tblPrEx>
          <w:tblCellMar>
            <w:top w:w="0" w:type="dxa"/>
            <w:left w:w="0" w:type="dxa"/>
            <w:bottom w:w="0" w:type="dxa"/>
            <w:right w:w="0" w:type="dxa"/>
          </w:tblCellMar>
        </w:tblPrEx>
        <w:trPr>
          <w:trHeight w:val="634"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排放口名称</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征收品目</w:t>
            </w:r>
          </w:p>
        </w:tc>
        <w:tc>
          <w:tcPr>
            <w:tcW w:w="57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sz w:val="22"/>
                <w:szCs w:val="22"/>
                <w:u w:val="none"/>
                <w:lang w:val="en-US"/>
              </w:rPr>
            </w:pPr>
            <w:r>
              <w:rPr>
                <w:rFonts w:hint="eastAsia" w:ascii="宋体" w:hAnsi="宋体" w:cs="宋体"/>
                <w:b/>
                <w:i w:val="0"/>
                <w:color w:val="000000"/>
                <w:kern w:val="0"/>
                <w:sz w:val="22"/>
                <w:szCs w:val="22"/>
                <w:u w:val="none"/>
                <w:lang w:val="en-US" w:eastAsia="zh-CN" w:bidi="ar"/>
              </w:rPr>
              <w:t>污染物名称</w:t>
            </w:r>
          </w:p>
        </w:tc>
        <w:tc>
          <w:tcPr>
            <w:tcW w:w="7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污染物排放量计算方法</w:t>
            </w:r>
          </w:p>
        </w:tc>
        <w:tc>
          <w:tcPr>
            <w:tcW w:w="10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污染物排放量（千克）</w:t>
            </w:r>
          </w:p>
        </w:tc>
        <w:tc>
          <w:tcPr>
            <w:tcW w:w="108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kern w:val="0"/>
                <w:sz w:val="22"/>
                <w:szCs w:val="22"/>
                <w:u w:val="none"/>
                <w:lang w:val="en-US" w:eastAsia="zh-CN" w:bidi="ar"/>
              </w:rPr>
            </w:pPr>
            <w:r>
              <w:rPr>
                <w:rFonts w:hint="eastAsia" w:ascii="宋体" w:hAnsi="宋体" w:cs="宋体"/>
                <w:b/>
                <w:i w:val="0"/>
                <w:color w:val="000000"/>
                <w:kern w:val="0"/>
                <w:sz w:val="22"/>
                <w:szCs w:val="22"/>
                <w:u w:val="none"/>
                <w:lang w:val="en-US" w:eastAsia="zh-CN" w:bidi="ar"/>
              </w:rPr>
              <w:t>废气排放量</w:t>
            </w:r>
          </w:p>
        </w:tc>
      </w:tr>
      <w:tr>
        <w:tblPrEx>
          <w:tblCellMar>
            <w:top w:w="0" w:type="dxa"/>
            <w:left w:w="0" w:type="dxa"/>
            <w:bottom w:w="0" w:type="dxa"/>
            <w:right w:w="0" w:type="dxa"/>
          </w:tblCellMar>
        </w:tblPrEx>
        <w:trPr>
          <w:trHeight w:val="270"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硫回收区</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二氧化硫（气）</w:t>
            </w:r>
          </w:p>
        </w:tc>
        <w:tc>
          <w:tcPr>
            <w:tcW w:w="57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二氧化硫</w:t>
            </w:r>
          </w:p>
        </w:tc>
        <w:tc>
          <w:tcPr>
            <w:tcW w:w="7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自动监测</w:t>
            </w:r>
          </w:p>
        </w:tc>
        <w:tc>
          <w:tcPr>
            <w:tcW w:w="10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165.2816</w:t>
            </w:r>
          </w:p>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1088" w:type="pct"/>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1174.3725万m³</w:t>
            </w:r>
          </w:p>
        </w:tc>
      </w:tr>
      <w:tr>
        <w:tblPrEx>
          <w:shd w:val="clear" w:color="auto" w:fill="auto"/>
          <w:tblCellMar>
            <w:top w:w="0" w:type="dxa"/>
            <w:left w:w="0" w:type="dxa"/>
            <w:bottom w:w="0" w:type="dxa"/>
            <w:right w:w="0" w:type="dxa"/>
          </w:tblCellMar>
        </w:tblPrEx>
        <w:trPr>
          <w:trHeight w:val="270"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硫回收区</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氮氧化物（气）</w:t>
            </w:r>
          </w:p>
        </w:tc>
        <w:tc>
          <w:tcPr>
            <w:tcW w:w="57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氮氧化物</w:t>
            </w:r>
          </w:p>
        </w:tc>
        <w:tc>
          <w:tcPr>
            <w:tcW w:w="7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自动监测</w:t>
            </w:r>
          </w:p>
        </w:tc>
        <w:tc>
          <w:tcPr>
            <w:tcW w:w="10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352.32</w:t>
            </w:r>
          </w:p>
        </w:tc>
        <w:tc>
          <w:tcPr>
            <w:tcW w:w="1088" w:type="pct"/>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270"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硫回收区</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一般性粉尘（气）</w:t>
            </w:r>
          </w:p>
        </w:tc>
        <w:tc>
          <w:tcPr>
            <w:tcW w:w="57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颗粒物</w:t>
            </w:r>
          </w:p>
        </w:tc>
        <w:tc>
          <w:tcPr>
            <w:tcW w:w="7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自动监测</w:t>
            </w:r>
          </w:p>
        </w:tc>
        <w:tc>
          <w:tcPr>
            <w:tcW w:w="10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87.369</w:t>
            </w:r>
          </w:p>
        </w:tc>
        <w:tc>
          <w:tcPr>
            <w:tcW w:w="1088" w:type="pct"/>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540"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原煤储运及煤浆制备区</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一般性粉尘（气）</w:t>
            </w:r>
          </w:p>
        </w:tc>
        <w:tc>
          <w:tcPr>
            <w:tcW w:w="57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颗粒物</w:t>
            </w:r>
          </w:p>
        </w:tc>
        <w:tc>
          <w:tcPr>
            <w:tcW w:w="77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监测机构监测</w:t>
            </w:r>
          </w:p>
        </w:tc>
        <w:tc>
          <w:tcPr>
            <w:tcW w:w="10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387.9185</w:t>
            </w:r>
          </w:p>
        </w:tc>
        <w:tc>
          <w:tcPr>
            <w:tcW w:w="108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11827.16万m³</w:t>
            </w:r>
          </w:p>
        </w:tc>
      </w:tr>
    </w:tbl>
    <w:p>
      <w:pPr>
        <w:pStyle w:val="9"/>
        <w:keepNext w:val="0"/>
        <w:keepLines w:val="0"/>
        <w:pageBreakBefore w:val="0"/>
        <w:widowControl/>
        <w:kinsoku/>
        <w:wordWrap/>
        <w:overflowPunct/>
        <w:topLinePunct w:val="0"/>
        <w:autoSpaceDE/>
        <w:autoSpaceDN/>
        <w:bidi w:val="0"/>
        <w:adjustRightInd/>
        <w:snapToGrid/>
        <w:spacing w:before="0" w:after="0" w:line="360" w:lineRule="auto"/>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废水排放去向：大气</w:t>
      </w:r>
    </w:p>
    <w:p>
      <w:pPr>
        <w:pStyle w:val="4"/>
        <w:bidi w:val="0"/>
        <w:rPr>
          <w:rFonts w:hint="eastAsia" w:ascii="仿宋" w:hAnsi="仿宋" w:eastAsia="仿宋" w:cs="仿宋"/>
          <w:sz w:val="32"/>
          <w:szCs w:val="32"/>
          <w:lang w:val="en-US" w:eastAsia="zh-CN"/>
        </w:rPr>
      </w:pPr>
      <w:bookmarkStart w:id="22" w:name="_Toc23564"/>
      <w:bookmarkStart w:id="23" w:name="_Toc25390"/>
      <w:r>
        <w:rPr>
          <w:rFonts w:hint="eastAsia" w:ascii="仿宋" w:hAnsi="仿宋" w:eastAsia="仿宋" w:cs="仿宋"/>
          <w:sz w:val="32"/>
          <w:szCs w:val="32"/>
          <w:lang w:val="en-US" w:eastAsia="zh-CN"/>
        </w:rPr>
        <w:t>5.3 固废</w:t>
      </w:r>
      <w:bookmarkEnd w:id="22"/>
      <w:bookmarkEnd w:id="23"/>
    </w:p>
    <w:p>
      <w:pPr>
        <w:pStyle w:val="8"/>
        <w:pageBreakBefore w:val="0"/>
        <w:widowControl w:val="0"/>
        <w:kinsoku/>
        <w:wordWrap/>
        <w:overflowPunct/>
        <w:topLinePunct w:val="0"/>
        <w:autoSpaceDE/>
        <w:autoSpaceDN/>
        <w:bidi w:val="0"/>
        <w:adjustRightInd/>
        <w:snapToGrid/>
        <w:spacing w:after="0" w:afterLines="0" w:line="360" w:lineRule="auto"/>
        <w:ind w:firstLine="640" w:firstLineChars="200"/>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安阳盈德主要固体废物是灰渣及生活垃圾，2020年第二季度公司固废排放综合利用情况如下：</w:t>
      </w:r>
    </w:p>
    <w:tbl>
      <w:tblPr>
        <w:tblStyle w:val="21"/>
        <w:tblW w:w="5000" w:type="pct"/>
        <w:tblInd w:w="0" w:type="dxa"/>
        <w:shd w:val="clear" w:color="auto" w:fill="auto"/>
        <w:tblLayout w:type="fixed"/>
        <w:tblCellMar>
          <w:top w:w="0" w:type="dxa"/>
          <w:left w:w="0" w:type="dxa"/>
          <w:bottom w:w="0" w:type="dxa"/>
          <w:right w:w="0" w:type="dxa"/>
        </w:tblCellMar>
      </w:tblPr>
      <w:tblGrid>
        <w:gridCol w:w="439"/>
        <w:gridCol w:w="1260"/>
        <w:gridCol w:w="1260"/>
        <w:gridCol w:w="1672"/>
        <w:gridCol w:w="851"/>
        <w:gridCol w:w="801"/>
        <w:gridCol w:w="1650"/>
        <w:gridCol w:w="1961"/>
      </w:tblGrid>
      <w:tr>
        <w:tblPrEx>
          <w:shd w:val="clear" w:color="auto" w:fill="auto"/>
          <w:tblCellMar>
            <w:top w:w="0" w:type="dxa"/>
            <w:left w:w="0" w:type="dxa"/>
            <w:bottom w:w="0" w:type="dxa"/>
            <w:right w:w="0" w:type="dxa"/>
          </w:tblCellMar>
        </w:tblPrEx>
        <w:trPr>
          <w:trHeight w:val="54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2020年盈德气体危废/固废及回收利用率统计表</w:t>
            </w:r>
          </w:p>
        </w:tc>
      </w:tr>
      <w:tr>
        <w:tblPrEx>
          <w:shd w:val="clear" w:color="auto" w:fill="auto"/>
          <w:tblCellMar>
            <w:top w:w="0" w:type="dxa"/>
            <w:left w:w="0" w:type="dxa"/>
            <w:bottom w:w="0" w:type="dxa"/>
            <w:right w:w="0" w:type="dxa"/>
          </w:tblCellMar>
        </w:tblPrEx>
        <w:trPr>
          <w:trHeight w:val="540" w:hRule="atLeast"/>
        </w:trPr>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序号</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固体废物名称</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产生量（吨）</w:t>
            </w:r>
          </w:p>
        </w:tc>
        <w:tc>
          <w:tcPr>
            <w:tcW w:w="8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回收利用量（吨）</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综合处置</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lang w:val="en-US" w:eastAsia="zh-CN"/>
              </w:rPr>
            </w:pPr>
            <w:r>
              <w:rPr>
                <w:rFonts w:hint="eastAsia"/>
                <w:lang w:val="en-US" w:eastAsia="zh-CN"/>
              </w:rPr>
              <w:t>库存</w:t>
            </w:r>
          </w:p>
          <w:p>
            <w:pPr>
              <w:pStyle w:val="11"/>
              <w:rPr>
                <w:rFonts w:hint="eastAsia"/>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回收利用率</w:t>
            </w:r>
          </w:p>
        </w:tc>
        <w:tc>
          <w:tcPr>
            <w:tcW w:w="9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备注</w:t>
            </w:r>
          </w:p>
        </w:tc>
      </w:tr>
      <w:tr>
        <w:tblPrEx>
          <w:shd w:val="clear" w:color="auto" w:fill="auto"/>
          <w:tblCellMar>
            <w:top w:w="0" w:type="dxa"/>
            <w:left w:w="0" w:type="dxa"/>
            <w:bottom w:w="0" w:type="dxa"/>
            <w:right w:w="0" w:type="dxa"/>
          </w:tblCellMar>
        </w:tblPrEx>
        <w:trPr>
          <w:trHeight w:val="840" w:hRule="atLeast"/>
        </w:trPr>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灰渣</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宋体" w:hAnsi="宋体" w:cs="宋体"/>
                <w:kern w:val="0"/>
                <w:sz w:val="24"/>
                <w:lang w:val="en-US" w:eastAsia="zh-CN"/>
              </w:rPr>
              <w:t>19670</w:t>
            </w:r>
            <w:r>
              <w:rPr>
                <w:rFonts w:hint="eastAsia" w:ascii="仿宋" w:hAnsi="仿宋" w:eastAsia="仿宋" w:cs="仿宋"/>
                <w:i w:val="0"/>
                <w:color w:val="000000"/>
                <w:kern w:val="0"/>
                <w:sz w:val="24"/>
                <w:szCs w:val="24"/>
                <w:u w:val="none"/>
                <w:lang w:val="en-US" w:eastAsia="zh-CN" w:bidi="ar"/>
              </w:rPr>
              <w:t xml:space="preserve"> </w:t>
            </w:r>
          </w:p>
        </w:tc>
        <w:tc>
          <w:tcPr>
            <w:tcW w:w="8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18706.17</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 </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1000 </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95.1% </w:t>
            </w:r>
          </w:p>
        </w:tc>
        <w:tc>
          <w:tcPr>
            <w:tcW w:w="9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外售做建材</w:t>
            </w:r>
          </w:p>
        </w:tc>
      </w:tr>
      <w:tr>
        <w:tblPrEx>
          <w:shd w:val="clear" w:color="auto" w:fill="auto"/>
          <w:tblCellMar>
            <w:top w:w="0" w:type="dxa"/>
            <w:left w:w="0" w:type="dxa"/>
            <w:bottom w:w="0" w:type="dxa"/>
            <w:right w:w="0" w:type="dxa"/>
          </w:tblCellMar>
        </w:tblPrEx>
        <w:trPr>
          <w:trHeight w:val="840" w:hRule="atLeast"/>
        </w:trPr>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污泥</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 xml:space="preserve"> 52.56</w:t>
            </w:r>
          </w:p>
        </w:tc>
        <w:tc>
          <w:tcPr>
            <w:tcW w:w="8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52.56</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100 %</w:t>
            </w:r>
          </w:p>
        </w:tc>
        <w:tc>
          <w:tcPr>
            <w:tcW w:w="9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污泥与原料煤掺烧，不外排环境</w:t>
            </w:r>
          </w:p>
        </w:tc>
      </w:tr>
      <w:tr>
        <w:tblPrEx>
          <w:shd w:val="clear" w:color="auto" w:fill="auto"/>
          <w:tblCellMar>
            <w:top w:w="0" w:type="dxa"/>
            <w:left w:w="0" w:type="dxa"/>
            <w:bottom w:w="0" w:type="dxa"/>
            <w:right w:w="0" w:type="dxa"/>
          </w:tblCellMar>
        </w:tblPrEx>
        <w:trPr>
          <w:trHeight w:val="840" w:hRule="atLeast"/>
        </w:trPr>
        <w:tc>
          <w:tcPr>
            <w:tcW w:w="2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b w:val="0"/>
                <w:bCs w:val="0"/>
                <w:i w:val="0"/>
                <w:color w:val="000000"/>
                <w:kern w:val="0"/>
                <w:sz w:val="24"/>
                <w:szCs w:val="24"/>
                <w:u w:val="none"/>
                <w:lang w:val="en-US" w:eastAsia="zh-CN" w:bidi="ar"/>
              </w:rPr>
              <w:t>生活建筑垃圾</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6.4</w:t>
            </w:r>
          </w:p>
        </w:tc>
        <w:tc>
          <w:tcPr>
            <w:tcW w:w="84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 xml:space="preserve"> </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 </w:t>
            </w:r>
          </w:p>
        </w:tc>
        <w:tc>
          <w:tcPr>
            <w:tcW w:w="40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仿宋" w:hAnsi="仿宋" w:eastAsia="仿宋" w:cs="仿宋"/>
                <w:i w:val="0"/>
                <w:color w:val="000000"/>
                <w:sz w:val="24"/>
                <w:szCs w:val="24"/>
                <w:u w:val="none"/>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p>
        </w:tc>
        <w:tc>
          <w:tcPr>
            <w:tcW w:w="9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建筑废料送至垃圾处理厂</w:t>
            </w:r>
          </w:p>
        </w:tc>
      </w:tr>
    </w:tbl>
    <w:p>
      <w:pPr>
        <w:rPr>
          <w:rFonts w:hint="default"/>
          <w:lang w:val="en-US" w:eastAsia="zh-CN"/>
        </w:rPr>
      </w:pPr>
    </w:p>
    <w:p>
      <w:pPr>
        <w:pStyle w:val="4"/>
        <w:bidi w:val="0"/>
        <w:rPr>
          <w:rFonts w:hint="eastAsia" w:ascii="仿宋" w:hAnsi="仿宋" w:eastAsia="仿宋" w:cs="仿宋"/>
          <w:sz w:val="32"/>
          <w:szCs w:val="32"/>
          <w:lang w:val="en-US" w:eastAsia="zh-CN"/>
        </w:rPr>
      </w:pPr>
      <w:bookmarkStart w:id="24" w:name="_Toc23057"/>
      <w:bookmarkStart w:id="25" w:name="_Toc23945"/>
      <w:r>
        <w:rPr>
          <w:rFonts w:hint="eastAsia" w:ascii="仿宋" w:hAnsi="仿宋" w:eastAsia="仿宋" w:cs="仿宋"/>
          <w:sz w:val="32"/>
          <w:szCs w:val="32"/>
          <w:lang w:val="en-US" w:eastAsia="zh-CN"/>
        </w:rPr>
        <w:t>5.4 结论</w:t>
      </w:r>
      <w:bookmarkEnd w:id="24"/>
      <w:bookmarkEnd w:id="25"/>
    </w:p>
    <w:p>
      <w:pPr>
        <w:keepNext w:val="0"/>
        <w:keepLines w:val="0"/>
        <w:pageBreakBefore w:val="0"/>
        <w:widowControl w:val="0"/>
        <w:kinsoku/>
        <w:wordWrap/>
        <w:overflowPunct/>
        <w:topLinePunct w:val="0"/>
        <w:autoSpaceDE/>
        <w:autoSpaceDN/>
        <w:bidi w:val="0"/>
        <w:adjustRightInd/>
        <w:snapToGrid/>
        <w:spacing w:line="276" w:lineRule="auto"/>
        <w:textAlignment w:val="auto"/>
        <w:rPr>
          <w:rFonts w:hint="eastAsia" w:ascii="仿宋" w:hAnsi="仿宋" w:eastAsia="仿宋" w:cs="仿宋"/>
          <w:b w:val="0"/>
          <w:bCs/>
          <w:sz w:val="32"/>
          <w:szCs w:val="32"/>
          <w:lang w:val="en-US" w:eastAsia="zh-CN"/>
        </w:rPr>
      </w:pPr>
      <w:r>
        <w:rPr>
          <w:rFonts w:hint="eastAsia" w:ascii="仿宋" w:hAnsi="仿宋" w:eastAsia="仿宋" w:cs="仿宋"/>
          <w:sz w:val="32"/>
          <w:szCs w:val="32"/>
          <w:lang w:val="en-US" w:eastAsia="zh-CN"/>
        </w:rPr>
        <w:t xml:space="preserve">  依据2020年第二季度环境检测报告及在线在内测数据，公司三废总排放量如下：公司废水排放：</w:t>
      </w:r>
      <w:r>
        <w:rPr>
          <w:rFonts w:hint="eastAsia" w:ascii="宋体" w:hAnsi="宋体" w:cs="宋体"/>
          <w:i w:val="0"/>
          <w:color w:val="000000"/>
          <w:kern w:val="0"/>
          <w:sz w:val="32"/>
          <w:szCs w:val="32"/>
          <w:u w:val="none"/>
          <w:lang w:val="en-US" w:eastAsia="zh-CN" w:bidi="ar"/>
        </w:rPr>
        <w:t>228388.452m³</w:t>
      </w:r>
      <w:r>
        <w:rPr>
          <w:rFonts w:hint="eastAsia" w:ascii="仿宋" w:hAnsi="仿宋" w:eastAsia="仿宋" w:cs="仿宋"/>
          <w:sz w:val="32"/>
          <w:szCs w:val="32"/>
          <w:lang w:val="en-US" w:eastAsia="zh-CN"/>
        </w:rPr>
        <w:t>、废水中主要污染物排放量：COD3037.812</w:t>
      </w:r>
      <w:r>
        <w:rPr>
          <w:rFonts w:hint="eastAsia" w:ascii="仿宋" w:hAnsi="仿宋" w:eastAsia="仿宋" w:cs="仿宋"/>
          <w:i w:val="0"/>
          <w:color w:val="000000"/>
          <w:kern w:val="0"/>
          <w:sz w:val="32"/>
          <w:szCs w:val="32"/>
          <w:u w:val="none"/>
          <w:lang w:val="en-US" w:eastAsia="zh-CN" w:bidi="ar"/>
        </w:rPr>
        <w:t xml:space="preserve"> Kg</w:t>
      </w:r>
      <w:r>
        <w:rPr>
          <w:rFonts w:hint="eastAsia" w:ascii="仿宋" w:hAnsi="仿宋" w:eastAsia="仿宋" w:cs="仿宋"/>
          <w:sz w:val="32"/>
          <w:szCs w:val="32"/>
          <w:lang w:val="en-US" w:eastAsia="zh-CN"/>
        </w:rPr>
        <w:t>、氨氮33.066</w:t>
      </w:r>
      <w:r>
        <w:rPr>
          <w:rFonts w:hint="eastAsia" w:ascii="仿宋" w:hAnsi="仿宋" w:eastAsia="仿宋" w:cs="仿宋"/>
          <w:i w:val="0"/>
          <w:color w:val="000000"/>
          <w:kern w:val="0"/>
          <w:sz w:val="32"/>
          <w:szCs w:val="32"/>
          <w:u w:val="none"/>
          <w:lang w:val="en-US" w:eastAsia="zh-CN" w:bidi="ar"/>
        </w:rPr>
        <w:t xml:space="preserve"> Kg悬浮物1389.168 Kg，符合环评批复及《河南省合成氨工业废水污染物排放标准》（DB41538-2017）；</w:t>
      </w:r>
      <w:r>
        <w:rPr>
          <w:rFonts w:hint="eastAsia" w:ascii="仿宋" w:hAnsi="仿宋" w:eastAsia="仿宋" w:cs="仿宋"/>
          <w:sz w:val="32"/>
          <w:szCs w:val="32"/>
          <w:lang w:val="en-US" w:eastAsia="zh-CN"/>
        </w:rPr>
        <w:t>废气排放：1174.3725万m³，废气中主要特征污染物排放量：二氧化硫165.28</w:t>
      </w:r>
      <w:r>
        <w:rPr>
          <w:rFonts w:hint="eastAsia" w:ascii="仿宋" w:hAnsi="仿宋" w:eastAsia="仿宋" w:cs="仿宋"/>
          <w:i w:val="0"/>
          <w:color w:val="000000"/>
          <w:kern w:val="0"/>
          <w:sz w:val="32"/>
          <w:szCs w:val="32"/>
          <w:u w:val="none"/>
          <w:lang w:val="en-US" w:eastAsia="zh-CN" w:bidi="ar"/>
        </w:rPr>
        <w:t>Kg、氮氧化物352.32kg,颗粒物475.287Kg，排放浓度及排放量均符合排污许可及环评要求。</w:t>
      </w:r>
      <w:bookmarkStart w:id="26" w:name="_GoBack"/>
      <w:bookmarkEnd w:id="26"/>
    </w:p>
    <w:sectPr>
      <w:headerReference r:id="rId5" w:type="default"/>
      <w:footerReference r:id="rId6" w:type="default"/>
      <w:pgSz w:w="11906" w:h="16838"/>
      <w:pgMar w:top="1418" w:right="1021" w:bottom="1418" w:left="1021" w:header="1134" w:footer="454"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华文新魏">
    <w:altName w:val="宋体"/>
    <w:panose1 w:val="02010800040101010101"/>
    <w:charset w:val="86"/>
    <w:family w:val="auto"/>
    <w:pitch w:val="default"/>
    <w:sig w:usb0="00000000" w:usb1="00000000" w:usb2="00000010" w:usb3="00000000" w:csb0="00040000" w:csb1="00000000"/>
  </w:font>
  <w:font w:name="PingFang SC">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华文细黑">
    <w:altName w:val="微软雅黑"/>
    <w:panose1 w:val="02010600040101010101"/>
    <w:charset w:val="86"/>
    <w:family w:val="auto"/>
    <w:pitch w:val="default"/>
    <w:sig w:usb0="00000000" w:usb1="00000000" w:usb2="00000010" w:usb3="00000000" w:csb0="000400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f/wEV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t1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gf/wEVAgAAFQQAAA4AAAAAAAAA&#10;AQAgAAAAHwEAAGRycy9lMm9Eb2MueG1sUEsFBgAAAAAGAAYAWQEAAKYFA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14"/>
                      <w:rPr>
                        <w:rFonts w:hint="eastAsia" w:eastAsia="宋体"/>
                        <w:lang w:eastAsia="zh-C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wordWrap w:val="0"/>
      <w:ind w:right="540"/>
      <w:jc w:val="right"/>
      <w:rPr>
        <w:rFonts w:ascii="华文细黑" w:hAnsi="华文细黑" w:eastAsia="华文细黑"/>
        <w:sz w:val="13"/>
        <w:szCs w:val="15"/>
      </w:rPr>
    </w:pPr>
    <w:r>
      <w:rPr>
        <w:sz w:val="13"/>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1JoQUV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1JoQUVAgAAFQQAAA4AAAAAAAAA&#10;AQAgAAAAHwEAAGRycy9lMm9Eb2MueG1sUEsFBgAAAAAGAAYAWQEAAKYFA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ascii="微软雅黑" w:hAnsi="微软雅黑" w:eastAsia="微软雅黑" w:cs="宋体"/>
        <w:sz w:val="12"/>
        <w:szCs w:val="12"/>
      </w:rPr>
    </w:pPr>
    <w:r>
      <mc:AlternateContent>
        <mc:Choice Requires="wps">
          <w:drawing>
            <wp:anchor distT="0" distB="0" distL="114300" distR="114300" simplePos="0" relativeHeight="251697152" behindDoc="0" locked="0" layoutInCell="1" allowOverlap="1">
              <wp:simplePos x="0" y="0"/>
              <wp:positionH relativeFrom="column">
                <wp:posOffset>142240</wp:posOffset>
              </wp:positionH>
              <wp:positionV relativeFrom="paragraph">
                <wp:posOffset>-358140</wp:posOffset>
              </wp:positionV>
              <wp:extent cx="1981200" cy="533400"/>
              <wp:effectExtent l="0" t="0" r="0" b="0"/>
              <wp:wrapNone/>
              <wp:docPr id="5" name="矩形 5"/>
              <wp:cNvGraphicFramePr/>
              <a:graphic xmlns:a="http://schemas.openxmlformats.org/drawingml/2006/main">
                <a:graphicData uri="http://schemas.microsoft.com/office/word/2010/wordprocessingShape">
                  <wps:wsp>
                    <wps:cNvSpPr>
                      <a:spLocks noChangeArrowheads="1"/>
                    </wps:cNvSpPr>
                    <wps:spPr bwMode="auto">
                      <a:xfrm>
                        <a:off x="0" y="0"/>
                        <a:ext cx="1981200" cy="5334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1.2pt;margin-top:-28.2pt;height:42pt;width:156pt;z-index:251697152;mso-width-relative:page;mso-height-relative:page;" fillcolor="#FFFFFF" filled="t" stroked="f" coordsize="21600,21600" o:gfxdata="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hi8Vo1wAAAAkBAAAPAAAAAAAAAAEAIAAAACIAAABkcnMvZG93bnJl&#10;di54bWxQSwECFAAUAAAACACHTuJAkyCFvP4BAADYAwAADgAAAAAAAAABACAAAAAmAQAAZHJzL2Uy&#10;b0RvYy54bWxQSwUGAAAAAAYABgBZAQAAlgUAAAAA&#10;">
              <v:fill on="t" focussize="0,0"/>
              <v:stroke on="f"/>
              <v:imagedata o:title=""/>
              <o:lock v:ext="edit" aspectratio="f"/>
            </v:rect>
          </w:pict>
        </mc:Fallback>
      </mc:AlternateContent>
    </w:r>
    <w:r>
      <w:drawing>
        <wp:anchor distT="0" distB="0" distL="114300" distR="114300" simplePos="0" relativeHeight="251650048" behindDoc="1" locked="0" layoutInCell="1" allowOverlap="1">
          <wp:simplePos x="0" y="0"/>
          <wp:positionH relativeFrom="column">
            <wp:posOffset>5080</wp:posOffset>
          </wp:positionH>
          <wp:positionV relativeFrom="paragraph">
            <wp:posOffset>-631190</wp:posOffset>
          </wp:positionV>
          <wp:extent cx="6477635" cy="914400"/>
          <wp:effectExtent l="0" t="0" r="0" b="0"/>
          <wp:wrapNone/>
          <wp:docPr id="7" name="图片 7" descr="B应用系统-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应用系统-6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477635" cy="914400"/>
                  </a:xfrm>
                  <a:prstGeom prst="rect">
                    <a:avLst/>
                  </a:prstGeom>
                  <a:noFill/>
                  <a:ln>
                    <a:noFill/>
                  </a:ln>
                </pic:spPr>
              </pic:pic>
            </a:graphicData>
          </a:graphic>
        </wp:anchor>
      </w:drawing>
    </w:r>
  </w:p>
  <w:p>
    <w:pPr>
      <w:spacing w:line="140" w:lineRule="atLeast"/>
      <w:rPr>
        <w:rFonts w:ascii="微软雅黑" w:hAnsi="微软雅黑" w:eastAsia="微软雅黑" w:cs="宋体"/>
        <w:sz w:val="12"/>
        <w:szCs w:val="12"/>
      </w:rPr>
    </w:pPr>
  </w:p>
  <w:p>
    <w:pPr>
      <w:rPr>
        <w:rFonts w:ascii="微软雅黑" w:hAnsi="微软雅黑" w:eastAsia="微软雅黑" w:cs="宋体"/>
        <w:sz w:val="12"/>
        <w:szCs w:val="1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37F"/>
    <w:rsid w:val="000000D0"/>
    <w:rsid w:val="000075E0"/>
    <w:rsid w:val="000116D0"/>
    <w:rsid w:val="00047406"/>
    <w:rsid w:val="00047A1C"/>
    <w:rsid w:val="00061BD0"/>
    <w:rsid w:val="0007246D"/>
    <w:rsid w:val="00076BEE"/>
    <w:rsid w:val="0007784B"/>
    <w:rsid w:val="00081896"/>
    <w:rsid w:val="00085B65"/>
    <w:rsid w:val="0009122A"/>
    <w:rsid w:val="000959A0"/>
    <w:rsid w:val="000959A9"/>
    <w:rsid w:val="000A1193"/>
    <w:rsid w:val="000A2637"/>
    <w:rsid w:val="000C2CA1"/>
    <w:rsid w:val="000C3596"/>
    <w:rsid w:val="000D0AEB"/>
    <w:rsid w:val="000D7E30"/>
    <w:rsid w:val="000E466B"/>
    <w:rsid w:val="000F4522"/>
    <w:rsid w:val="000F7469"/>
    <w:rsid w:val="00100A70"/>
    <w:rsid w:val="001049B6"/>
    <w:rsid w:val="001163AF"/>
    <w:rsid w:val="00116695"/>
    <w:rsid w:val="001216F4"/>
    <w:rsid w:val="001265FF"/>
    <w:rsid w:val="0013592B"/>
    <w:rsid w:val="001371DC"/>
    <w:rsid w:val="001374BF"/>
    <w:rsid w:val="00137BF1"/>
    <w:rsid w:val="0014434D"/>
    <w:rsid w:val="001601AA"/>
    <w:rsid w:val="00166A26"/>
    <w:rsid w:val="00175BFC"/>
    <w:rsid w:val="001809DB"/>
    <w:rsid w:val="001937AC"/>
    <w:rsid w:val="0019563D"/>
    <w:rsid w:val="001B34BF"/>
    <w:rsid w:val="001B419E"/>
    <w:rsid w:val="001C171D"/>
    <w:rsid w:val="001D5E8D"/>
    <w:rsid w:val="001E0E9D"/>
    <w:rsid w:val="001E122B"/>
    <w:rsid w:val="001E13C3"/>
    <w:rsid w:val="001F3B29"/>
    <w:rsid w:val="001F6155"/>
    <w:rsid w:val="00211278"/>
    <w:rsid w:val="00213542"/>
    <w:rsid w:val="00214015"/>
    <w:rsid w:val="00221769"/>
    <w:rsid w:val="00225C88"/>
    <w:rsid w:val="00226377"/>
    <w:rsid w:val="00231E30"/>
    <w:rsid w:val="0025035C"/>
    <w:rsid w:val="00267B1D"/>
    <w:rsid w:val="00274A1D"/>
    <w:rsid w:val="00275C93"/>
    <w:rsid w:val="0027762C"/>
    <w:rsid w:val="002879BF"/>
    <w:rsid w:val="00290AC9"/>
    <w:rsid w:val="002B56AF"/>
    <w:rsid w:val="002D32AE"/>
    <w:rsid w:val="002D3CDD"/>
    <w:rsid w:val="002E5B0E"/>
    <w:rsid w:val="003024A6"/>
    <w:rsid w:val="00305A90"/>
    <w:rsid w:val="0031642A"/>
    <w:rsid w:val="00350026"/>
    <w:rsid w:val="00352E26"/>
    <w:rsid w:val="003579D1"/>
    <w:rsid w:val="00370A85"/>
    <w:rsid w:val="00394C22"/>
    <w:rsid w:val="003A7F88"/>
    <w:rsid w:val="003B137F"/>
    <w:rsid w:val="003B18D6"/>
    <w:rsid w:val="003C25D3"/>
    <w:rsid w:val="003C2D47"/>
    <w:rsid w:val="003D03BE"/>
    <w:rsid w:val="003D121B"/>
    <w:rsid w:val="003D3AA7"/>
    <w:rsid w:val="003F1A78"/>
    <w:rsid w:val="003F2A3B"/>
    <w:rsid w:val="003F3153"/>
    <w:rsid w:val="004035B0"/>
    <w:rsid w:val="00403EBC"/>
    <w:rsid w:val="00414A1F"/>
    <w:rsid w:val="00425B37"/>
    <w:rsid w:val="00425FF8"/>
    <w:rsid w:val="00454839"/>
    <w:rsid w:val="004549F0"/>
    <w:rsid w:val="0045786D"/>
    <w:rsid w:val="00461C68"/>
    <w:rsid w:val="0048498B"/>
    <w:rsid w:val="004905DC"/>
    <w:rsid w:val="00490CC1"/>
    <w:rsid w:val="004973C3"/>
    <w:rsid w:val="004B4B9F"/>
    <w:rsid w:val="004C5F74"/>
    <w:rsid w:val="004D1781"/>
    <w:rsid w:val="004D5AF4"/>
    <w:rsid w:val="004F5CA8"/>
    <w:rsid w:val="004F61DF"/>
    <w:rsid w:val="00500042"/>
    <w:rsid w:val="00507DD1"/>
    <w:rsid w:val="00513434"/>
    <w:rsid w:val="00520072"/>
    <w:rsid w:val="00522EF7"/>
    <w:rsid w:val="00530DB2"/>
    <w:rsid w:val="00532B47"/>
    <w:rsid w:val="00534C93"/>
    <w:rsid w:val="00551022"/>
    <w:rsid w:val="00552A89"/>
    <w:rsid w:val="00564D25"/>
    <w:rsid w:val="00585576"/>
    <w:rsid w:val="00585C3C"/>
    <w:rsid w:val="00597D6C"/>
    <w:rsid w:val="005A12B7"/>
    <w:rsid w:val="005E4BC1"/>
    <w:rsid w:val="005F0192"/>
    <w:rsid w:val="00600427"/>
    <w:rsid w:val="0060303B"/>
    <w:rsid w:val="00604EBB"/>
    <w:rsid w:val="00605BA4"/>
    <w:rsid w:val="00615EE7"/>
    <w:rsid w:val="00643EA6"/>
    <w:rsid w:val="006446E3"/>
    <w:rsid w:val="00646F50"/>
    <w:rsid w:val="0065179B"/>
    <w:rsid w:val="00667A57"/>
    <w:rsid w:val="0067339E"/>
    <w:rsid w:val="006776EC"/>
    <w:rsid w:val="00681C83"/>
    <w:rsid w:val="006A381A"/>
    <w:rsid w:val="006A4EB2"/>
    <w:rsid w:val="006B33F4"/>
    <w:rsid w:val="006B513A"/>
    <w:rsid w:val="006C6540"/>
    <w:rsid w:val="006D55C6"/>
    <w:rsid w:val="006D652B"/>
    <w:rsid w:val="006E6E86"/>
    <w:rsid w:val="00715545"/>
    <w:rsid w:val="007227DC"/>
    <w:rsid w:val="00724C44"/>
    <w:rsid w:val="00726B21"/>
    <w:rsid w:val="0073378C"/>
    <w:rsid w:val="00744214"/>
    <w:rsid w:val="00760DD7"/>
    <w:rsid w:val="00761F13"/>
    <w:rsid w:val="00764EEE"/>
    <w:rsid w:val="0078301E"/>
    <w:rsid w:val="00783568"/>
    <w:rsid w:val="00787F52"/>
    <w:rsid w:val="007977EC"/>
    <w:rsid w:val="00797C8F"/>
    <w:rsid w:val="007A137B"/>
    <w:rsid w:val="007A6525"/>
    <w:rsid w:val="007B7D1E"/>
    <w:rsid w:val="007C0CC7"/>
    <w:rsid w:val="007C1882"/>
    <w:rsid w:val="007C3772"/>
    <w:rsid w:val="007C625A"/>
    <w:rsid w:val="007D7AA9"/>
    <w:rsid w:val="007F3D7F"/>
    <w:rsid w:val="007F4549"/>
    <w:rsid w:val="007F4C3D"/>
    <w:rsid w:val="00800826"/>
    <w:rsid w:val="00803CCA"/>
    <w:rsid w:val="00812C34"/>
    <w:rsid w:val="0081364B"/>
    <w:rsid w:val="0084057B"/>
    <w:rsid w:val="00845B53"/>
    <w:rsid w:val="0085031E"/>
    <w:rsid w:val="008615E4"/>
    <w:rsid w:val="008650C4"/>
    <w:rsid w:val="00870FE2"/>
    <w:rsid w:val="008710D4"/>
    <w:rsid w:val="00873FE6"/>
    <w:rsid w:val="00884103"/>
    <w:rsid w:val="00887EDE"/>
    <w:rsid w:val="008971B7"/>
    <w:rsid w:val="008A51E8"/>
    <w:rsid w:val="008D3145"/>
    <w:rsid w:val="008D4193"/>
    <w:rsid w:val="008E5228"/>
    <w:rsid w:val="00954CDB"/>
    <w:rsid w:val="00960F0D"/>
    <w:rsid w:val="00971AE1"/>
    <w:rsid w:val="009740CD"/>
    <w:rsid w:val="00980B52"/>
    <w:rsid w:val="009828DB"/>
    <w:rsid w:val="009A48A9"/>
    <w:rsid w:val="009A603C"/>
    <w:rsid w:val="009C50CF"/>
    <w:rsid w:val="009C7326"/>
    <w:rsid w:val="009E5A2B"/>
    <w:rsid w:val="009F08A1"/>
    <w:rsid w:val="009F29AA"/>
    <w:rsid w:val="009F6C7F"/>
    <w:rsid w:val="00A1040E"/>
    <w:rsid w:val="00A4653A"/>
    <w:rsid w:val="00A51957"/>
    <w:rsid w:val="00A93ACE"/>
    <w:rsid w:val="00A947A9"/>
    <w:rsid w:val="00A953AE"/>
    <w:rsid w:val="00AD7340"/>
    <w:rsid w:val="00AE5474"/>
    <w:rsid w:val="00AF49DE"/>
    <w:rsid w:val="00B13C99"/>
    <w:rsid w:val="00B17445"/>
    <w:rsid w:val="00B2321F"/>
    <w:rsid w:val="00B24CFC"/>
    <w:rsid w:val="00B2596B"/>
    <w:rsid w:val="00B30238"/>
    <w:rsid w:val="00B34F7E"/>
    <w:rsid w:val="00B4266E"/>
    <w:rsid w:val="00B53927"/>
    <w:rsid w:val="00B66F68"/>
    <w:rsid w:val="00B70D4D"/>
    <w:rsid w:val="00B71270"/>
    <w:rsid w:val="00B75968"/>
    <w:rsid w:val="00B7638E"/>
    <w:rsid w:val="00B76437"/>
    <w:rsid w:val="00B77C2B"/>
    <w:rsid w:val="00B8081F"/>
    <w:rsid w:val="00B9063C"/>
    <w:rsid w:val="00B93852"/>
    <w:rsid w:val="00B94239"/>
    <w:rsid w:val="00B94C4A"/>
    <w:rsid w:val="00BA3983"/>
    <w:rsid w:val="00BC4528"/>
    <w:rsid w:val="00BC47A6"/>
    <w:rsid w:val="00BE06C2"/>
    <w:rsid w:val="00BE4F1A"/>
    <w:rsid w:val="00BE7AE4"/>
    <w:rsid w:val="00C04B5E"/>
    <w:rsid w:val="00C07044"/>
    <w:rsid w:val="00C11145"/>
    <w:rsid w:val="00C20F17"/>
    <w:rsid w:val="00C236CC"/>
    <w:rsid w:val="00C31362"/>
    <w:rsid w:val="00C3313C"/>
    <w:rsid w:val="00C402DC"/>
    <w:rsid w:val="00C40431"/>
    <w:rsid w:val="00C627A5"/>
    <w:rsid w:val="00C7317E"/>
    <w:rsid w:val="00C9718C"/>
    <w:rsid w:val="00CA4EB1"/>
    <w:rsid w:val="00CB4FF5"/>
    <w:rsid w:val="00CB580D"/>
    <w:rsid w:val="00CD71AD"/>
    <w:rsid w:val="00CE4DFC"/>
    <w:rsid w:val="00D056F8"/>
    <w:rsid w:val="00D127AE"/>
    <w:rsid w:val="00D1645C"/>
    <w:rsid w:val="00D243ED"/>
    <w:rsid w:val="00D36EB9"/>
    <w:rsid w:val="00D45B27"/>
    <w:rsid w:val="00D51CA2"/>
    <w:rsid w:val="00D63457"/>
    <w:rsid w:val="00D63532"/>
    <w:rsid w:val="00D6501B"/>
    <w:rsid w:val="00D6755E"/>
    <w:rsid w:val="00D75B69"/>
    <w:rsid w:val="00D86E45"/>
    <w:rsid w:val="00D92B18"/>
    <w:rsid w:val="00DA509A"/>
    <w:rsid w:val="00DA5319"/>
    <w:rsid w:val="00DC6341"/>
    <w:rsid w:val="00DC641B"/>
    <w:rsid w:val="00DD7C93"/>
    <w:rsid w:val="00DF3F12"/>
    <w:rsid w:val="00DF4449"/>
    <w:rsid w:val="00E0627A"/>
    <w:rsid w:val="00E06D4F"/>
    <w:rsid w:val="00E30260"/>
    <w:rsid w:val="00E32067"/>
    <w:rsid w:val="00E34CFA"/>
    <w:rsid w:val="00E46AAE"/>
    <w:rsid w:val="00E47337"/>
    <w:rsid w:val="00E60DDD"/>
    <w:rsid w:val="00E71D5E"/>
    <w:rsid w:val="00E85F18"/>
    <w:rsid w:val="00E91D78"/>
    <w:rsid w:val="00E9610F"/>
    <w:rsid w:val="00E97188"/>
    <w:rsid w:val="00EA0449"/>
    <w:rsid w:val="00EA22D5"/>
    <w:rsid w:val="00EB1D42"/>
    <w:rsid w:val="00EB5765"/>
    <w:rsid w:val="00EC01C5"/>
    <w:rsid w:val="00EC1E46"/>
    <w:rsid w:val="00EE1A8B"/>
    <w:rsid w:val="00EE35A5"/>
    <w:rsid w:val="00EE5FCF"/>
    <w:rsid w:val="00EF0E53"/>
    <w:rsid w:val="00F0179A"/>
    <w:rsid w:val="00F044B3"/>
    <w:rsid w:val="00F070C5"/>
    <w:rsid w:val="00F10328"/>
    <w:rsid w:val="00F10543"/>
    <w:rsid w:val="00F16246"/>
    <w:rsid w:val="00F2043A"/>
    <w:rsid w:val="00F244F0"/>
    <w:rsid w:val="00F31008"/>
    <w:rsid w:val="00F36960"/>
    <w:rsid w:val="00F40347"/>
    <w:rsid w:val="00F46BC8"/>
    <w:rsid w:val="00F46DF5"/>
    <w:rsid w:val="00F573FE"/>
    <w:rsid w:val="00F77ED8"/>
    <w:rsid w:val="00F8483F"/>
    <w:rsid w:val="00F868DA"/>
    <w:rsid w:val="00F922E4"/>
    <w:rsid w:val="00FB5D1C"/>
    <w:rsid w:val="00FD4C68"/>
    <w:rsid w:val="00FF56CC"/>
    <w:rsid w:val="00FF5C50"/>
    <w:rsid w:val="047D4377"/>
    <w:rsid w:val="0DC7437D"/>
    <w:rsid w:val="17DC5152"/>
    <w:rsid w:val="19273811"/>
    <w:rsid w:val="1B860F6B"/>
    <w:rsid w:val="219936E2"/>
    <w:rsid w:val="22176C18"/>
    <w:rsid w:val="22DE47C6"/>
    <w:rsid w:val="26D47BBF"/>
    <w:rsid w:val="2CF47FC1"/>
    <w:rsid w:val="2F250B43"/>
    <w:rsid w:val="2F5D7452"/>
    <w:rsid w:val="32576B8E"/>
    <w:rsid w:val="334B4757"/>
    <w:rsid w:val="35D12757"/>
    <w:rsid w:val="38A16A7F"/>
    <w:rsid w:val="3C4A53EA"/>
    <w:rsid w:val="3CC920F7"/>
    <w:rsid w:val="3EED2BFF"/>
    <w:rsid w:val="3F9A7735"/>
    <w:rsid w:val="3FDF7E6B"/>
    <w:rsid w:val="42C22332"/>
    <w:rsid w:val="4424493E"/>
    <w:rsid w:val="470F3D1C"/>
    <w:rsid w:val="48CE7C5C"/>
    <w:rsid w:val="49876379"/>
    <w:rsid w:val="4AA05657"/>
    <w:rsid w:val="4B5F11E4"/>
    <w:rsid w:val="4D166648"/>
    <w:rsid w:val="4DE32AD2"/>
    <w:rsid w:val="502E30DE"/>
    <w:rsid w:val="5049236A"/>
    <w:rsid w:val="50EB4752"/>
    <w:rsid w:val="511231D1"/>
    <w:rsid w:val="51BF2088"/>
    <w:rsid w:val="59CF27A9"/>
    <w:rsid w:val="5A1A1F46"/>
    <w:rsid w:val="5A6136DD"/>
    <w:rsid w:val="5CE0443B"/>
    <w:rsid w:val="65E70333"/>
    <w:rsid w:val="67AA0FCD"/>
    <w:rsid w:val="68247DCC"/>
    <w:rsid w:val="68E52A50"/>
    <w:rsid w:val="6B367AA7"/>
    <w:rsid w:val="6B9875C1"/>
    <w:rsid w:val="6C9518A9"/>
    <w:rsid w:val="6DA37270"/>
    <w:rsid w:val="75981860"/>
    <w:rsid w:val="761A4EC4"/>
    <w:rsid w:val="76915F75"/>
    <w:rsid w:val="78842CE9"/>
    <w:rsid w:val="796F64D6"/>
    <w:rsid w:val="79EE042C"/>
    <w:rsid w:val="79FB3F2A"/>
    <w:rsid w:val="7A2E1ECF"/>
    <w:rsid w:val="7A39259C"/>
    <w:rsid w:val="7A441B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iPriority="99" w:semiHidden="0"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before="10" w:beforeLines="0" w:beforeAutospacing="0" w:after="10" w:afterLines="0" w:afterAutospacing="0" w:line="276" w:lineRule="auto"/>
      <w:outlineLvl w:val="0"/>
    </w:pPr>
    <w:rPr>
      <w:rFonts w:eastAsia="微软雅黑"/>
      <w:b/>
      <w:kern w:val="44"/>
      <w:sz w:val="28"/>
    </w:rPr>
  </w:style>
  <w:style w:type="paragraph" w:styleId="4">
    <w:name w:val="heading 2"/>
    <w:basedOn w:val="1"/>
    <w:next w:val="1"/>
    <w:qFormat/>
    <w:uiPriority w:val="0"/>
    <w:pPr>
      <w:keepNext/>
      <w:keepLines/>
      <w:spacing w:before="10" w:after="10" w:line="276" w:lineRule="auto"/>
      <w:outlineLvl w:val="1"/>
    </w:pPr>
    <w:rPr>
      <w:rFonts w:ascii="Cambria" w:hAnsi="Cambria" w:eastAsia="微软雅黑"/>
      <w:b/>
      <w:bCs/>
      <w:sz w:val="24"/>
      <w:szCs w:val="32"/>
    </w:rPr>
  </w:style>
  <w:style w:type="paragraph" w:styleId="5">
    <w:name w:val="heading 3"/>
    <w:basedOn w:val="1"/>
    <w:next w:val="1"/>
    <w:qFormat/>
    <w:uiPriority w:val="9"/>
    <w:pPr>
      <w:keepNext/>
      <w:keepLines/>
      <w:spacing w:before="260" w:after="260" w:line="416" w:lineRule="auto"/>
      <w:outlineLvl w:val="2"/>
    </w:pPr>
    <w:rPr>
      <w:b/>
      <w:bCs/>
      <w:sz w:val="28"/>
      <w:szCs w:val="3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宋体" w:cs="宋体" w:eastAsiaTheme="minorEastAsia"/>
      <w:color w:val="000000"/>
      <w:sz w:val="24"/>
      <w:szCs w:val="24"/>
      <w:lang w:val="en-US" w:eastAsia="zh-CN" w:bidi="ar-SA"/>
    </w:rPr>
  </w:style>
  <w:style w:type="paragraph" w:styleId="6">
    <w:name w:val="Normal Indent"/>
    <w:basedOn w:val="1"/>
    <w:qFormat/>
    <w:uiPriority w:val="0"/>
    <w:pPr>
      <w:adjustRightInd w:val="0"/>
      <w:snapToGrid w:val="0"/>
      <w:spacing w:line="300" w:lineRule="auto"/>
      <w:ind w:firstLine="200" w:firstLineChars="200"/>
    </w:pPr>
    <w:rPr>
      <w:rFonts w:ascii="华文新魏" w:eastAsia="华文新魏"/>
      <w:sz w:val="28"/>
    </w:rPr>
  </w:style>
  <w:style w:type="paragraph" w:styleId="7">
    <w:name w:val="annotation text"/>
    <w:basedOn w:val="1"/>
    <w:link w:val="47"/>
    <w:unhideWhenUsed/>
    <w:qFormat/>
    <w:uiPriority w:val="99"/>
    <w:pPr>
      <w:jc w:val="left"/>
    </w:pPr>
  </w:style>
  <w:style w:type="paragraph" w:styleId="8">
    <w:name w:val="Body Text"/>
    <w:basedOn w:val="1"/>
    <w:next w:val="9"/>
    <w:link w:val="54"/>
    <w:qFormat/>
    <w:uiPriority w:val="0"/>
    <w:pPr>
      <w:spacing w:after="120"/>
    </w:pPr>
    <w:rPr>
      <w:rFonts w:ascii="Calibri" w:hAnsi="Calibri"/>
      <w:szCs w:val="22"/>
    </w:rPr>
  </w:style>
  <w:style w:type="paragraph" w:customStyle="1" w:styleId="9">
    <w:name w:val="style4"/>
    <w:basedOn w:val="1"/>
    <w:next w:val="10"/>
    <w:qFormat/>
    <w:uiPriority w:val="0"/>
    <w:pPr>
      <w:widowControl/>
      <w:spacing w:before="280" w:after="280"/>
    </w:pPr>
    <w:rPr>
      <w:rFonts w:ascii="宋体"/>
      <w:sz w:val="18"/>
    </w:rPr>
  </w:style>
  <w:style w:type="paragraph" w:customStyle="1" w:styleId="10">
    <w:name w:val="2"/>
    <w:next w:val="1"/>
    <w:qFormat/>
    <w:uiPriority w:val="0"/>
    <w:pPr>
      <w:widowControl w:val="0"/>
      <w:jc w:val="both"/>
    </w:pPr>
    <w:rPr>
      <w:rFonts w:ascii="Calibri" w:hAnsi="Calibri" w:eastAsia="宋体" w:cs="Times New Roman"/>
      <w:sz w:val="21"/>
      <w:szCs w:val="22"/>
      <w:lang w:val="en-US" w:eastAsia="zh-CN" w:bidi="ar-SA"/>
    </w:rPr>
  </w:style>
  <w:style w:type="paragraph" w:styleId="11">
    <w:name w:val="Block Text"/>
    <w:basedOn w:val="1"/>
    <w:next w:val="8"/>
    <w:qFormat/>
    <w:uiPriority w:val="0"/>
    <w:pPr>
      <w:spacing w:after="120" w:afterLines="0"/>
      <w:ind w:left="1440" w:leftChars="700" w:right="1440" w:rightChars="700"/>
    </w:pPr>
    <w:rPr>
      <w:rFonts w:ascii="Times New Roman" w:hAnsi="Times New Roman" w:eastAsia="宋体" w:cs="Times New Roman"/>
    </w:rPr>
  </w:style>
  <w:style w:type="paragraph" w:styleId="12">
    <w:name w:val="Plain Text"/>
    <w:basedOn w:val="1"/>
    <w:qFormat/>
    <w:uiPriority w:val="0"/>
    <w:rPr>
      <w:rFonts w:ascii="宋体" w:hAnsi="Courier New" w:cs="Courier New"/>
      <w:szCs w:val="21"/>
    </w:rPr>
  </w:style>
  <w:style w:type="paragraph" w:styleId="13">
    <w:name w:val="Balloon Text"/>
    <w:basedOn w:val="1"/>
    <w:link w:val="37"/>
    <w:unhideWhenUsed/>
    <w:qFormat/>
    <w:uiPriority w:val="99"/>
    <w:rPr>
      <w:sz w:val="18"/>
      <w:szCs w:val="18"/>
    </w:rPr>
  </w:style>
  <w:style w:type="paragraph" w:styleId="14">
    <w:name w:val="footer"/>
    <w:basedOn w:val="1"/>
    <w:link w:val="3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5">
    <w:name w:val="header"/>
    <w:basedOn w:val="1"/>
    <w:link w:val="3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6">
    <w:name w:val="toc 1"/>
    <w:basedOn w:val="1"/>
    <w:next w:val="1"/>
    <w:qFormat/>
    <w:uiPriority w:val="39"/>
    <w:pPr>
      <w:tabs>
        <w:tab w:val="right" w:leader="dot" w:pos="8720"/>
      </w:tabs>
      <w:snapToGrid w:val="0"/>
      <w:spacing w:line="500" w:lineRule="exact"/>
    </w:pPr>
    <w:rPr>
      <w:rFonts w:ascii="黑体" w:hAnsi="黑体" w:eastAsia="黑体"/>
      <w:sz w:val="24"/>
    </w:rPr>
  </w:style>
  <w:style w:type="paragraph" w:styleId="17">
    <w:name w:val="toc 2"/>
    <w:basedOn w:val="1"/>
    <w:next w:val="1"/>
    <w:qFormat/>
    <w:uiPriority w:val="39"/>
    <w:pPr>
      <w:ind w:left="240"/>
      <w:jc w:val="left"/>
    </w:pPr>
    <w:rPr>
      <w:smallCaps/>
      <w:sz w:val="20"/>
      <w:szCs w:val="20"/>
    </w:rPr>
  </w:style>
  <w:style w:type="paragraph" w:styleId="18">
    <w:name w:val="Body Text 2"/>
    <w:basedOn w:val="1"/>
    <w:link w:val="55"/>
    <w:qFormat/>
    <w:uiPriority w:val="0"/>
    <w:rPr>
      <w:rFonts w:ascii="宋体" w:hAnsi="宋体"/>
      <w:color w:val="000000"/>
      <w:sz w:val="24"/>
      <w:szCs w:val="24"/>
    </w:rPr>
  </w:style>
  <w:style w:type="paragraph" w:styleId="19">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PingFang SC" w:hAnsi="PingFang SC" w:eastAsia="PingFang SC"/>
      <w:kern w:val="0"/>
      <w:sz w:val="24"/>
      <w:szCs w:val="24"/>
    </w:rPr>
  </w:style>
  <w:style w:type="paragraph" w:styleId="20">
    <w:name w:val="annotation subject"/>
    <w:basedOn w:val="7"/>
    <w:next w:val="7"/>
    <w:link w:val="48"/>
    <w:unhideWhenUsed/>
    <w:qFormat/>
    <w:uiPriority w:val="99"/>
    <w:rPr>
      <w:b/>
      <w:bCs/>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22"/>
    <w:rPr>
      <w:b/>
    </w:rPr>
  </w:style>
  <w:style w:type="character" w:styleId="25">
    <w:name w:val="FollowedHyperlink"/>
    <w:basedOn w:val="23"/>
    <w:unhideWhenUsed/>
    <w:qFormat/>
    <w:uiPriority w:val="99"/>
    <w:rPr>
      <w:color w:val="3F88BF"/>
      <w:u w:val="none"/>
    </w:rPr>
  </w:style>
  <w:style w:type="character" w:styleId="26">
    <w:name w:val="Emphasis"/>
    <w:basedOn w:val="23"/>
    <w:qFormat/>
    <w:uiPriority w:val="20"/>
  </w:style>
  <w:style w:type="character" w:styleId="27">
    <w:name w:val="HTML Definition"/>
    <w:basedOn w:val="23"/>
    <w:unhideWhenUsed/>
    <w:qFormat/>
    <w:uiPriority w:val="99"/>
  </w:style>
  <w:style w:type="character" w:styleId="28">
    <w:name w:val="HTML Variable"/>
    <w:basedOn w:val="23"/>
    <w:unhideWhenUsed/>
    <w:qFormat/>
    <w:uiPriority w:val="99"/>
  </w:style>
  <w:style w:type="character" w:styleId="29">
    <w:name w:val="Hyperlink"/>
    <w:basedOn w:val="23"/>
    <w:unhideWhenUsed/>
    <w:qFormat/>
    <w:uiPriority w:val="99"/>
    <w:rPr>
      <w:color w:val="3F88BF"/>
      <w:u w:val="none"/>
    </w:rPr>
  </w:style>
  <w:style w:type="character" w:styleId="30">
    <w:name w:val="HTML Code"/>
    <w:basedOn w:val="23"/>
    <w:unhideWhenUsed/>
    <w:qFormat/>
    <w:uiPriority w:val="99"/>
    <w:rPr>
      <w:rFonts w:hint="eastAsia" w:ascii="PingFang SC" w:hAnsi="PingFang SC" w:eastAsia="PingFang SC" w:cs="PingFang SC"/>
      <w:sz w:val="20"/>
    </w:rPr>
  </w:style>
  <w:style w:type="character" w:styleId="31">
    <w:name w:val="annotation reference"/>
    <w:basedOn w:val="23"/>
    <w:unhideWhenUsed/>
    <w:qFormat/>
    <w:uiPriority w:val="99"/>
    <w:rPr>
      <w:sz w:val="21"/>
      <w:szCs w:val="21"/>
    </w:rPr>
  </w:style>
  <w:style w:type="character" w:styleId="32">
    <w:name w:val="HTML Cite"/>
    <w:basedOn w:val="23"/>
    <w:unhideWhenUsed/>
    <w:qFormat/>
    <w:uiPriority w:val="99"/>
  </w:style>
  <w:style w:type="character" w:styleId="33">
    <w:name w:val="HTML Keyboard"/>
    <w:basedOn w:val="23"/>
    <w:unhideWhenUsed/>
    <w:qFormat/>
    <w:uiPriority w:val="99"/>
    <w:rPr>
      <w:rFonts w:hint="default" w:ascii="PingFang SC" w:hAnsi="PingFang SC" w:eastAsia="PingFang SC" w:cs="PingFang SC"/>
      <w:sz w:val="20"/>
    </w:rPr>
  </w:style>
  <w:style w:type="character" w:styleId="34">
    <w:name w:val="HTML Sample"/>
    <w:basedOn w:val="23"/>
    <w:unhideWhenUsed/>
    <w:qFormat/>
    <w:uiPriority w:val="99"/>
    <w:rPr>
      <w:rFonts w:hint="default" w:ascii="PingFang SC" w:hAnsi="PingFang SC" w:eastAsia="PingFang SC" w:cs="PingFang SC"/>
    </w:rPr>
  </w:style>
  <w:style w:type="character" w:customStyle="1" w:styleId="35">
    <w:name w:val="页眉 Char"/>
    <w:basedOn w:val="23"/>
    <w:link w:val="15"/>
    <w:qFormat/>
    <w:uiPriority w:val="99"/>
    <w:rPr>
      <w:sz w:val="18"/>
      <w:szCs w:val="18"/>
    </w:rPr>
  </w:style>
  <w:style w:type="character" w:customStyle="1" w:styleId="36">
    <w:name w:val="页脚 Char"/>
    <w:basedOn w:val="23"/>
    <w:link w:val="14"/>
    <w:qFormat/>
    <w:uiPriority w:val="99"/>
    <w:rPr>
      <w:sz w:val="18"/>
      <w:szCs w:val="18"/>
    </w:rPr>
  </w:style>
  <w:style w:type="character" w:customStyle="1" w:styleId="37">
    <w:name w:val="批注框文本 Char"/>
    <w:basedOn w:val="23"/>
    <w:link w:val="13"/>
    <w:semiHidden/>
    <w:qFormat/>
    <w:uiPriority w:val="99"/>
    <w:rPr>
      <w:rFonts w:ascii="Times New Roman" w:hAnsi="Times New Roman" w:eastAsia="宋体" w:cs="Times New Roman"/>
      <w:sz w:val="18"/>
      <w:szCs w:val="18"/>
    </w:rPr>
  </w:style>
  <w:style w:type="character" w:customStyle="1" w:styleId="38">
    <w:name w:val="release-day"/>
    <w:basedOn w:val="23"/>
    <w:qFormat/>
    <w:uiPriority w:val="0"/>
    <w:rPr>
      <w:bdr w:val="single" w:color="BDEBB0" w:sz="4" w:space="0"/>
      <w:shd w:val="clear" w:color="auto" w:fill="F5FFF1"/>
    </w:rPr>
  </w:style>
  <w:style w:type="character" w:customStyle="1" w:styleId="39">
    <w:name w:val="answer-title"/>
    <w:basedOn w:val="23"/>
    <w:qFormat/>
    <w:uiPriority w:val="0"/>
    <w:rPr>
      <w:color w:val="35B558"/>
      <w:sz w:val="22"/>
      <w:szCs w:val="22"/>
    </w:rPr>
  </w:style>
  <w:style w:type="character" w:customStyle="1" w:styleId="40">
    <w:name w:val="legend"/>
    <w:basedOn w:val="23"/>
    <w:qFormat/>
    <w:uiPriority w:val="0"/>
    <w:rPr>
      <w:rFonts w:ascii="Arial" w:hAnsi="Arial" w:cs="Arial"/>
      <w:b/>
      <w:color w:val="73B304"/>
      <w:sz w:val="14"/>
      <w:szCs w:val="14"/>
      <w:shd w:val="clear" w:color="auto" w:fill="FFFFFF"/>
    </w:rPr>
  </w:style>
  <w:style w:type="character" w:customStyle="1" w:styleId="41">
    <w:name w:val="num10"/>
    <w:basedOn w:val="23"/>
    <w:qFormat/>
    <w:uiPriority w:val="0"/>
    <w:rPr>
      <w:b/>
      <w:color w:val="FF7800"/>
    </w:rPr>
  </w:style>
  <w:style w:type="character" w:customStyle="1" w:styleId="42">
    <w:name w:val="answer-title12"/>
    <w:basedOn w:val="23"/>
    <w:qFormat/>
    <w:uiPriority w:val="0"/>
  </w:style>
  <w:style w:type="character" w:customStyle="1" w:styleId="43">
    <w:name w:val="num"/>
    <w:basedOn w:val="23"/>
    <w:qFormat/>
    <w:uiPriority w:val="0"/>
    <w:rPr>
      <w:b/>
      <w:color w:val="FF7800"/>
    </w:rPr>
  </w:style>
  <w:style w:type="character" w:customStyle="1" w:styleId="44">
    <w:name w:val="num5"/>
    <w:basedOn w:val="23"/>
    <w:qFormat/>
    <w:uiPriority w:val="0"/>
    <w:rPr>
      <w:b/>
      <w:color w:val="FF7800"/>
    </w:rPr>
  </w:style>
  <w:style w:type="character" w:customStyle="1" w:styleId="45">
    <w:name w:val="fontstrikethrough"/>
    <w:basedOn w:val="23"/>
    <w:qFormat/>
    <w:uiPriority w:val="0"/>
    <w:rPr>
      <w:strike/>
    </w:rPr>
  </w:style>
  <w:style w:type="character" w:customStyle="1" w:styleId="46">
    <w:name w:val="fontborder"/>
    <w:basedOn w:val="23"/>
    <w:qFormat/>
    <w:uiPriority w:val="0"/>
    <w:rPr>
      <w:bdr w:val="single" w:color="000000" w:sz="4" w:space="0"/>
    </w:rPr>
  </w:style>
  <w:style w:type="character" w:customStyle="1" w:styleId="47">
    <w:name w:val="批注文字 Char"/>
    <w:basedOn w:val="23"/>
    <w:link w:val="7"/>
    <w:semiHidden/>
    <w:qFormat/>
    <w:uiPriority w:val="99"/>
    <w:rPr>
      <w:kern w:val="2"/>
      <w:sz w:val="21"/>
    </w:rPr>
  </w:style>
  <w:style w:type="character" w:customStyle="1" w:styleId="48">
    <w:name w:val="批注主题 Char"/>
    <w:basedOn w:val="47"/>
    <w:link w:val="20"/>
    <w:semiHidden/>
    <w:qFormat/>
    <w:uiPriority w:val="99"/>
    <w:rPr>
      <w:b/>
      <w:bCs/>
      <w:kern w:val="2"/>
      <w:sz w:val="21"/>
    </w:rPr>
  </w:style>
  <w:style w:type="paragraph" w:customStyle="1" w:styleId="49">
    <w:name w:val="列出段落1"/>
    <w:basedOn w:val="1"/>
    <w:qFormat/>
    <w:uiPriority w:val="34"/>
    <w:pPr>
      <w:widowControl/>
      <w:spacing w:before="100" w:beforeAutospacing="1" w:after="100" w:afterAutospacing="1"/>
      <w:jc w:val="left"/>
    </w:pPr>
    <w:rPr>
      <w:rFonts w:ascii="宋体" w:hAnsi="宋体" w:cs="宋体"/>
      <w:kern w:val="0"/>
      <w:sz w:val="24"/>
      <w:szCs w:val="24"/>
    </w:rPr>
  </w:style>
  <w:style w:type="paragraph" w:customStyle="1" w:styleId="50">
    <w:name w:val="default"/>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51">
    <w:name w:val="apple-converted-space"/>
    <w:basedOn w:val="23"/>
    <w:qFormat/>
    <w:uiPriority w:val="0"/>
  </w:style>
  <w:style w:type="paragraph" w:styleId="52">
    <w:name w:val="List Paragraph"/>
    <w:basedOn w:val="1"/>
    <w:qFormat/>
    <w:uiPriority w:val="34"/>
    <w:pPr>
      <w:ind w:firstLine="420" w:firstLineChars="200"/>
    </w:pPr>
  </w:style>
  <w:style w:type="character" w:styleId="53">
    <w:name w:val="Placeholder Text"/>
    <w:basedOn w:val="23"/>
    <w:semiHidden/>
    <w:qFormat/>
    <w:uiPriority w:val="99"/>
    <w:rPr>
      <w:color w:val="808080"/>
    </w:rPr>
  </w:style>
  <w:style w:type="character" w:customStyle="1" w:styleId="54">
    <w:name w:val="正文文本 Char"/>
    <w:basedOn w:val="23"/>
    <w:link w:val="8"/>
    <w:qFormat/>
    <w:uiPriority w:val="0"/>
    <w:rPr>
      <w:rFonts w:ascii="Calibri" w:hAnsi="Calibri"/>
      <w:kern w:val="2"/>
      <w:sz w:val="21"/>
      <w:szCs w:val="22"/>
    </w:rPr>
  </w:style>
  <w:style w:type="character" w:customStyle="1" w:styleId="55">
    <w:name w:val="正文文本 2 Char"/>
    <w:basedOn w:val="23"/>
    <w:link w:val="18"/>
    <w:qFormat/>
    <w:uiPriority w:val="0"/>
    <w:rPr>
      <w:rFonts w:ascii="宋体" w:hAnsi="宋体"/>
      <w:color w:val="000000"/>
      <w:kern w:val="2"/>
      <w:sz w:val="24"/>
      <w:szCs w:val="24"/>
    </w:rPr>
  </w:style>
  <w:style w:type="paragraph" w:customStyle="1" w:styleId="56">
    <w:name w:val="表格"/>
    <w:basedOn w:val="1"/>
    <w:qFormat/>
    <w:uiPriority w:val="0"/>
    <w:pPr>
      <w:spacing w:beforeLines="0" w:line="400" w:lineRule="exact"/>
      <w:ind w:firstLine="0" w:firstLineChars="0"/>
      <w:jc w:val="center"/>
    </w:pPr>
    <w:rPr>
      <w:sz w:val="21"/>
    </w:rPr>
  </w:style>
  <w:style w:type="paragraph" w:customStyle="1" w:styleId="57">
    <w:name w:val="表中文字"/>
    <w:basedOn w:val="1"/>
    <w:qFormat/>
    <w:uiPriority w:val="0"/>
    <w:pPr>
      <w:snapToGrid w:val="0"/>
      <w:spacing w:line="400" w:lineRule="exact"/>
      <w:jc w:val="center"/>
    </w:pPr>
    <w:rPr>
      <w:rFonts w:ascii="Arial" w:hAnsi="Arial"/>
      <w:szCs w:val="20"/>
    </w:rPr>
  </w:style>
  <w:style w:type="paragraph" w:customStyle="1" w:styleId="58">
    <w:name w:val=" Char Char Char1 Char"/>
    <w:basedOn w:val="1"/>
    <w:qFormat/>
    <w:uiPriority w:val="0"/>
  </w:style>
  <w:style w:type="paragraph" w:customStyle="1" w:styleId="59">
    <w:name w:val="Other|1"/>
    <w:basedOn w:val="1"/>
    <w:qFormat/>
    <w:uiPriority w:val="0"/>
    <w:pPr>
      <w:widowControl w:val="0"/>
      <w:shd w:val="clear" w:color="auto" w:fill="auto"/>
      <w:jc w:val="center"/>
    </w:pPr>
    <w:rPr>
      <w:rFonts w:ascii="宋体" w:hAnsi="宋体" w:eastAsia="宋体" w:cs="宋体"/>
      <w:sz w:val="14"/>
      <w:szCs w:val="14"/>
      <w:u w:val="none"/>
      <w:shd w:val="clear" w:color="auto" w:fill="auto"/>
      <w:lang w:val="zh-TW" w:eastAsia="zh-TW" w:bidi="zh-TW"/>
    </w:rPr>
  </w:style>
  <w:style w:type="paragraph" w:customStyle="1" w:styleId="60">
    <w:name w:val="新标题样式"/>
    <w:basedOn w:val="1"/>
    <w:qFormat/>
    <w:uiPriority w:val="0"/>
    <w:pPr>
      <w:tabs>
        <w:tab w:val="left" w:pos="567"/>
      </w:tabs>
      <w:spacing w:line="360" w:lineRule="auto"/>
    </w:pPr>
    <w:rPr>
      <w:rFonts w:eastAsia="黑体"/>
      <w:b/>
      <w:spacing w:val="20"/>
      <w:sz w:val="24"/>
      <w:szCs w:val="20"/>
    </w:rPr>
  </w:style>
  <w:style w:type="paragraph" w:customStyle="1" w:styleId="61">
    <w:name w:val="Table Paragraph"/>
    <w:basedOn w:val="1"/>
    <w:qFormat/>
    <w:uiPriority w:val="1"/>
    <w:pPr>
      <w:jc w:val="center"/>
    </w:pPr>
    <w:rPr>
      <w:rFonts w:ascii="宋体" w:hAnsi="宋体" w:cs="宋体"/>
      <w:lang w:val="zh-CN" w:bidi="zh-CN"/>
    </w:rPr>
  </w:style>
  <w:style w:type="character" w:customStyle="1" w:styleId="62">
    <w:name w:val="font11"/>
    <w:basedOn w:val="23"/>
    <w:qFormat/>
    <w:uiPriority w:val="0"/>
    <w:rPr>
      <w:rFonts w:hint="eastAsia" w:ascii="宋体" w:hAnsi="宋体" w:eastAsia="宋体" w:cs="宋体"/>
      <w:color w:val="000000"/>
      <w:sz w:val="22"/>
      <w:szCs w:val="22"/>
      <w:u w:val="none"/>
    </w:rPr>
  </w:style>
  <w:style w:type="character" w:customStyle="1" w:styleId="63">
    <w:name w:val="正文文本 (2) + 粗体"/>
    <w:basedOn w:val="64"/>
    <w:qFormat/>
    <w:uiPriority w:val="99"/>
    <w:rPr>
      <w:b/>
      <w:bCs/>
      <w:spacing w:val="40"/>
    </w:rPr>
  </w:style>
  <w:style w:type="character" w:customStyle="1" w:styleId="64">
    <w:name w:val="正文文本 (2)_"/>
    <w:basedOn w:val="23"/>
    <w:link w:val="65"/>
    <w:qFormat/>
    <w:uiPriority w:val="99"/>
    <w:rPr>
      <w:rFonts w:ascii="微软雅黑" w:hAnsi="Calibri" w:eastAsia="微软雅黑" w:cs="微软雅黑"/>
      <w:spacing w:val="50"/>
      <w:sz w:val="30"/>
      <w:szCs w:val="30"/>
    </w:rPr>
  </w:style>
  <w:style w:type="paragraph" w:customStyle="1" w:styleId="65">
    <w:name w:val="正文文本 (2)"/>
    <w:basedOn w:val="1"/>
    <w:link w:val="64"/>
    <w:qFormat/>
    <w:uiPriority w:val="99"/>
    <w:pPr>
      <w:shd w:val="clear" w:color="auto" w:fill="FFFFFF"/>
      <w:spacing w:before="60" w:after="1200" w:line="240" w:lineRule="atLeast"/>
      <w:ind w:hanging="840"/>
      <w:jc w:val="center"/>
    </w:pPr>
    <w:rPr>
      <w:rFonts w:ascii="微软雅黑" w:hAnsi="Calibri" w:eastAsia="微软雅黑" w:cs="微软雅黑"/>
      <w:spacing w:val="50"/>
      <w:sz w:val="30"/>
      <w:szCs w:val="3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3.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customXml" Target="../customXml/item1.xml"/><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wmf"/><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5C5101-BD9A-4A34-9C04-9492E3E4D2BE}">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32</Pages>
  <Words>10063</Words>
  <Characters>13375</Characters>
  <Lines>6</Lines>
  <Paragraphs>1</Paragraphs>
  <TotalTime>212</TotalTime>
  <ScaleCrop>false</ScaleCrop>
  <LinksUpToDate>false</LinksUpToDate>
  <CharactersWithSpaces>13789</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2017-08-16T01:28:00Z</dcterms:created>
  <dc:creator>微软用户</dc:creator>
  <dc:description>1</dc:description>
  <cp:lastModifiedBy>user</cp:lastModifiedBy>
  <cp:lastPrinted>2019-07-06T02:58:00Z</cp:lastPrinted>
  <dcterms:modified xsi:type="dcterms:W3CDTF">2020-07-22T00:40:10Z</dcterms:modified>
  <cp:revision>192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